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21" w:rsidRDefault="00820C21" w:rsidP="00820C21">
      <w:pPr>
        <w:tabs>
          <w:tab w:val="left" w:pos="284"/>
        </w:tabs>
        <w:jc w:val="center"/>
        <w:rPr>
          <w:rFonts w:ascii="Times New Roman" w:eastAsiaTheme="minorHAnsi" w:hAnsi="Times New Roman"/>
          <w:b/>
          <w:szCs w:val="22"/>
          <w:lang w:eastAsia="en-US"/>
        </w:rPr>
      </w:pPr>
      <w:r>
        <w:rPr>
          <w:rFonts w:ascii="Times New Roman" w:eastAsiaTheme="minorHAnsi" w:hAnsi="Times New Roman"/>
          <w:b/>
          <w:szCs w:val="22"/>
          <w:lang w:eastAsia="en-US"/>
        </w:rPr>
        <w:t>ΑΠΟΦΑΣΗ ΣΥΝΕΔΡΙΑΣΗΣ ΕΠΙΤΡΟΠΗΣ ΕΡΕΥΝΩΝ</w:t>
      </w:r>
    </w:p>
    <w:p w:rsidR="00820C21" w:rsidRDefault="00820C21" w:rsidP="00820C21">
      <w:pPr>
        <w:tabs>
          <w:tab w:val="left" w:pos="284"/>
        </w:tabs>
        <w:jc w:val="center"/>
        <w:rPr>
          <w:rFonts w:ascii="Times New Roman" w:eastAsiaTheme="minorHAnsi" w:hAnsi="Times New Roman"/>
          <w:b/>
          <w:szCs w:val="22"/>
          <w:lang w:eastAsia="en-US"/>
        </w:rPr>
      </w:pPr>
      <w:r>
        <w:rPr>
          <w:rFonts w:ascii="Times New Roman" w:eastAsiaTheme="minorHAnsi" w:hAnsi="Times New Roman"/>
          <w:b/>
          <w:szCs w:val="22"/>
          <w:lang w:eastAsia="en-US"/>
        </w:rPr>
        <w:t>ΑΡ. ΣΥΝ. 313/23.12.2020</w:t>
      </w:r>
    </w:p>
    <w:p w:rsidR="00820C21" w:rsidRDefault="00820C21" w:rsidP="00820C21">
      <w:pPr>
        <w:tabs>
          <w:tab w:val="left" w:pos="284"/>
        </w:tabs>
        <w:jc w:val="center"/>
        <w:rPr>
          <w:rFonts w:ascii="Times New Roman" w:eastAsiaTheme="minorHAnsi" w:hAnsi="Times New Roman"/>
          <w:b/>
          <w:szCs w:val="22"/>
          <w:lang w:eastAsia="en-US"/>
        </w:rPr>
      </w:pPr>
    </w:p>
    <w:p w:rsidR="00820C21" w:rsidRPr="00820C21" w:rsidRDefault="00820C21" w:rsidP="00820C21">
      <w:pPr>
        <w:tabs>
          <w:tab w:val="left" w:pos="284"/>
        </w:tabs>
        <w:jc w:val="center"/>
        <w:rPr>
          <w:rFonts w:ascii="Times New Roman" w:eastAsiaTheme="minorHAnsi" w:hAnsi="Times New Roman"/>
          <w:b/>
          <w:szCs w:val="22"/>
          <w:lang w:eastAsia="en-US"/>
        </w:rPr>
      </w:pPr>
      <w:proofErr w:type="spellStart"/>
      <w:r>
        <w:rPr>
          <w:rFonts w:ascii="Times New Roman" w:eastAsiaTheme="minorHAnsi" w:hAnsi="Times New Roman"/>
          <w:b/>
          <w:szCs w:val="22"/>
          <w:lang w:eastAsia="en-US"/>
        </w:rPr>
        <w:t>Επικαιροποίηση</w:t>
      </w:r>
      <w:proofErr w:type="spellEnd"/>
      <w:r>
        <w:rPr>
          <w:rFonts w:ascii="Times New Roman" w:eastAsiaTheme="minorHAnsi" w:hAnsi="Times New Roman"/>
          <w:b/>
          <w:szCs w:val="22"/>
          <w:lang w:eastAsia="en-US"/>
        </w:rPr>
        <w:t xml:space="preserve"> της απόφασης για τη διαδικασία κλεισίματος ακίνητων έργων και το άνοιγμα νέων έργων με αντίστοιχη ερευνητική δραστηριότητα</w:t>
      </w:r>
    </w:p>
    <w:p w:rsidR="006143CF" w:rsidRDefault="006143CF" w:rsidP="006143CF">
      <w:pPr>
        <w:pStyle w:val="3"/>
        <w:tabs>
          <w:tab w:val="left" w:pos="7797"/>
        </w:tabs>
        <w:rPr>
          <w:bCs/>
          <w:sz w:val="22"/>
          <w:szCs w:val="22"/>
        </w:rPr>
      </w:pPr>
    </w:p>
    <w:p w:rsidR="006143CF" w:rsidRPr="00DD66EB" w:rsidRDefault="00820C21" w:rsidP="006143CF">
      <w:pPr>
        <w:pStyle w:val="3"/>
        <w:tabs>
          <w:tab w:val="left" w:pos="7797"/>
        </w:tabs>
        <w:rPr>
          <w:bCs/>
          <w:sz w:val="22"/>
          <w:szCs w:val="22"/>
        </w:rPr>
      </w:pPr>
      <w:proofErr w:type="gramStart"/>
      <w:r>
        <w:rPr>
          <w:bCs/>
          <w:sz w:val="22"/>
          <w:szCs w:val="22"/>
          <w:lang w:val="en-US"/>
        </w:rPr>
        <w:t>H</w:t>
      </w:r>
      <w:r w:rsidR="006143CF" w:rsidRPr="00DD66EB">
        <w:rPr>
          <w:bCs/>
          <w:sz w:val="22"/>
          <w:szCs w:val="22"/>
        </w:rPr>
        <w:t xml:space="preserve"> υπ’ </w:t>
      </w:r>
      <w:proofErr w:type="spellStart"/>
      <w:r w:rsidR="006143CF" w:rsidRPr="00DD66EB">
        <w:rPr>
          <w:bCs/>
          <w:sz w:val="22"/>
          <w:szCs w:val="22"/>
        </w:rPr>
        <w:t>αριθμ</w:t>
      </w:r>
      <w:proofErr w:type="spellEnd"/>
      <w:r w:rsidR="006143CF" w:rsidRPr="00DD66EB">
        <w:rPr>
          <w:bCs/>
          <w:sz w:val="22"/>
          <w:szCs w:val="22"/>
        </w:rPr>
        <w:t>.</w:t>
      </w:r>
      <w:proofErr w:type="gramEnd"/>
      <w:r w:rsidR="006143CF" w:rsidRPr="00DD66EB">
        <w:rPr>
          <w:bCs/>
          <w:sz w:val="22"/>
          <w:szCs w:val="22"/>
        </w:rPr>
        <w:t xml:space="preserve"> 256/25.06.2019 απόφαση της Επιτροπής Ερευνών και Διαχείρισης του ΕΛΚΕ, της οποίας η ισχύς παρατάθηκε εκ νέου έως τις 31/12/2021 με την </w:t>
      </w:r>
      <w:proofErr w:type="spellStart"/>
      <w:r w:rsidR="006143CF" w:rsidRPr="00DD66EB">
        <w:rPr>
          <w:bCs/>
          <w:sz w:val="22"/>
          <w:szCs w:val="22"/>
        </w:rPr>
        <w:t>υπ΄αριθμ</w:t>
      </w:r>
      <w:proofErr w:type="spellEnd"/>
      <w:r w:rsidR="006143CF" w:rsidRPr="00DD66EB">
        <w:rPr>
          <w:bCs/>
          <w:sz w:val="22"/>
          <w:szCs w:val="22"/>
        </w:rPr>
        <w:t xml:space="preserve">. </w:t>
      </w:r>
      <w:r w:rsidR="006143CF" w:rsidRPr="00DD66EB">
        <w:rPr>
          <w:sz w:val="22"/>
          <w:szCs w:val="22"/>
        </w:rPr>
        <w:t>310/10.12.2020 απόφαση της Επιτροπής Ερευνών</w:t>
      </w:r>
      <w:r w:rsidR="006143CF" w:rsidRPr="00DD66EB">
        <w:rPr>
          <w:bCs/>
          <w:sz w:val="22"/>
          <w:szCs w:val="22"/>
        </w:rPr>
        <w:t xml:space="preserve"> αναφορικά με το κλείσιμο των ακίνητων έργων και το άνοιγμα ενός έργου με αντίστοιχη ερευνητική δραστηριότητα, κατόπιν αίτησης του Επιστημονικά Υπευθύνου, για όσα έργα έχουν υπόλοιπο άνω των 500€ </w:t>
      </w:r>
      <w:proofErr w:type="spellStart"/>
      <w:r w:rsidR="006143CF" w:rsidRPr="00DD66EB">
        <w:rPr>
          <w:bCs/>
          <w:sz w:val="22"/>
          <w:szCs w:val="22"/>
        </w:rPr>
        <w:t>επικαιροποιείται</w:t>
      </w:r>
      <w:proofErr w:type="spellEnd"/>
      <w:r w:rsidR="006143CF" w:rsidRPr="00DD66EB">
        <w:rPr>
          <w:bCs/>
          <w:sz w:val="22"/>
          <w:szCs w:val="22"/>
        </w:rPr>
        <w:t xml:space="preserve"> ως εξής:</w:t>
      </w:r>
    </w:p>
    <w:p w:rsidR="006143CF" w:rsidRPr="00DD66EB" w:rsidRDefault="006143CF" w:rsidP="006143CF">
      <w:pPr>
        <w:pStyle w:val="a3"/>
        <w:ind w:left="0"/>
        <w:jc w:val="both"/>
        <w:rPr>
          <w:rFonts w:ascii="Times New Roman" w:hAnsi="Times New Roman"/>
          <w:bCs/>
          <w:szCs w:val="22"/>
        </w:rPr>
      </w:pP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«Για τα έργα που δεν έχουν καμία διοικητική και οικονομική εκκρεμότητα και τεκμηριωμένα έχουν ολοκληρώσει το φυσικό και οικονομικό αντικείμενο, βάσει σχετικών εγγράφων – πρακτικών από το φορέα χρηματοδότησης και υπό τις κάτωθι προϋποθέσεις:</w:t>
      </w:r>
    </w:p>
    <w:p w:rsidR="006143CF" w:rsidRPr="00251E44" w:rsidRDefault="006143CF" w:rsidP="006143CF">
      <w:pPr>
        <w:pStyle w:val="a3"/>
        <w:ind w:left="0"/>
        <w:jc w:val="both"/>
        <w:rPr>
          <w:rFonts w:ascii="Times New Roman" w:hAnsi="Times New Roman"/>
          <w:bCs/>
          <w:i/>
          <w:szCs w:val="22"/>
        </w:rPr>
      </w:pP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 xml:space="preserve">α) Για όσα από τα παραπάνω έργα έχουν υπόλοιπο έως 500,00 €, θα απορροφάται το υπόλοιπό τους από τον ΕΛΚΕ. </w:t>
      </w:r>
    </w:p>
    <w:p w:rsidR="006143CF" w:rsidRPr="00251E44" w:rsidRDefault="006143CF" w:rsidP="006143CF">
      <w:pPr>
        <w:pStyle w:val="a3"/>
        <w:ind w:left="0"/>
        <w:jc w:val="both"/>
        <w:rPr>
          <w:rFonts w:ascii="Times New Roman" w:hAnsi="Times New Roman"/>
          <w:bCs/>
          <w:i/>
          <w:szCs w:val="22"/>
        </w:rPr>
      </w:pP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 xml:space="preserve">β) Για όσα από τα παραπάνω έργα έχουν υπόλοιπο άνω των 500,00 €, δίνεται η δυνατότητα δημιουργίας νέου έργου, μετά από αίτηση του Επιστημονικά Υπεύθυνου, σύμφωνα και με την παρ. 8 του άρθρου 59 του Ν. 4485, όπως τροποποιήθηκε και ισχύει, για τη χρηματοδότηση ερευνητικών δραστηριοτήτων της ίδιας ερευνητικής ομάδας ή δράσεων για την υποστήριξη της έρευνας. Η αίτηση πρέπει να υποβληθεί εντός ενός έτους από την ολοκλήρωση του φυσικού και οικονομικού αντικειμένου του αρχικού έργου. Για όσα έργα έχει ήδη παρέλθει ένα έτος από την ολοκλήρωση του φυσικού και οικονομικού αντικειμένου, παρατείνεται η προθεσμία υποβολής της αίτησης για ένα επιπλέον έτος, ήτοι έως τις 31/12/2021. </w:t>
      </w: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 xml:space="preserve">Για τις περιπτώσεις που ένας Επιστημονικά Υπεύθυνος έχει περισσότερα του ενός έργα με ταμειακό υπόλοιπο άνω των 500€, που έχουν ολοκληρώσει, κατά τα ανωτέρω, το φυσικό και οικονομικό αντικείμενο, θα πρέπει πρώτα να εξετάζεται από την Επιτροπή Ερευνών η δυνατότητα ένωσης των ταμειακών τους υπολοίπων για τη δημιουργία ενός έργου, εφόσον, κατόπιν σχετικής τεκμηρίωσης του Επιστημονικά Υπευθύνου, τα έργα εντάσσονται στο ίδιο γνωστικό αντικείμενο. </w:t>
      </w: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 xml:space="preserve">Η ως άνω δυνατότητα δημιουργίας νέου έργου θα εξετάζεται περαιτέρω από την Επιτροπή Ερευνών για τις περιπτώσεις που εκκρεμεί ακίνητο δάνειο ή δημοσιονομική διόρθωση σε οποιοδήποτε έργο του Επιστημονικά Υπεύθυνου που υποβάλει αίτηση. </w:t>
      </w: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 xml:space="preserve">Το νέο έργο θα είναι ετήσιας διάρκειας, με επιλέξιμες δαπάνες σύμφωνα με τα ισχύοντα της Ερευνητικής Πολιτικής, επιτρέποντας και αμοιβές Πανεπιστημιακών και τρίτων. Η αμοιβή διαχείρισης υπέρ της Επιτροπής Ερευνών ανέρχεται στο 12%, λόγω διαχειριστικού και διοικητικού κόστους. </w:t>
      </w: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Πιο συγκεκριμένα, οι παρακάτω δαπάνες θα είναι επιλέξιμες:</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 xml:space="preserve">αγορά λογισμικού, βιβλιογραφικού, πληροφοριακού, αναλώσιμου υλικού και παγίων τα οποία είναι κρίσιμα για τη διεξαγωγή της σχετικής έρευνας κατόπιν υποβολής τεκμηρίωσης από τον Επιστημονικά Υπεύθυνο σχετικά με τη σκοπιμότητα της δαπάνης στο πλαίσιο εκτέλεσης του φυσικού αντικειμένου του έργου. Το λογισμικό, βιβλιογραφικό ή πληροφοριακό υλικό θα είναι </w:t>
      </w:r>
      <w:proofErr w:type="spellStart"/>
      <w:r w:rsidRPr="00251E44">
        <w:rPr>
          <w:rFonts w:ascii="Times New Roman" w:hAnsi="Times New Roman"/>
          <w:bCs/>
          <w:i/>
          <w:szCs w:val="22"/>
        </w:rPr>
        <w:t>προσβάσιμο</w:t>
      </w:r>
      <w:proofErr w:type="spellEnd"/>
      <w:r w:rsidRPr="00251E44">
        <w:rPr>
          <w:rFonts w:ascii="Times New Roman" w:hAnsi="Times New Roman"/>
          <w:bCs/>
          <w:i/>
          <w:szCs w:val="22"/>
        </w:rPr>
        <w:t xml:space="preserve"> σε όλα τα μέλη ΔΕΠ της Πανεπιστημιακής κοινότητας, </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 xml:space="preserve">έξοδα υποψηφίων διδακτόρων ή μελών ΔΕΠ για συμμετοχή σε συνέδρια όπου παρουσιάζουν τη σχετική εργασία, </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έξοδα μετακίνησης μελών ΔΕΠ σε αναγνωρισμένα ερευνητικά κέντρα ή ινστιτούτα του εσωτερικού ή του εξωτερικού για επιστημονικές συνεργασίες συναφείς με τη συγκεκριμένη έρευνα,</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πρόσβαση σε βάσεις δεδομένων,</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έξοδα δημοσιεύσεων σε περιοδικά που το απαιτούν (</w:t>
      </w:r>
      <w:proofErr w:type="spellStart"/>
      <w:r w:rsidRPr="00251E44">
        <w:rPr>
          <w:rFonts w:ascii="Times New Roman" w:hAnsi="Times New Roman"/>
          <w:bCs/>
          <w:i/>
          <w:szCs w:val="22"/>
        </w:rPr>
        <w:t>article</w:t>
      </w:r>
      <w:proofErr w:type="spellEnd"/>
      <w:r w:rsidRPr="00251E44">
        <w:rPr>
          <w:rFonts w:ascii="Times New Roman" w:hAnsi="Times New Roman"/>
          <w:bCs/>
          <w:i/>
          <w:szCs w:val="22"/>
        </w:rPr>
        <w:t xml:space="preserve"> </w:t>
      </w:r>
      <w:proofErr w:type="spellStart"/>
      <w:r w:rsidRPr="00251E44">
        <w:rPr>
          <w:rFonts w:ascii="Times New Roman" w:hAnsi="Times New Roman"/>
          <w:bCs/>
          <w:i/>
          <w:szCs w:val="22"/>
        </w:rPr>
        <w:t>submission</w:t>
      </w:r>
      <w:proofErr w:type="spellEnd"/>
      <w:r w:rsidRPr="00251E44">
        <w:rPr>
          <w:rFonts w:ascii="Times New Roman" w:hAnsi="Times New Roman"/>
          <w:bCs/>
          <w:i/>
          <w:szCs w:val="22"/>
        </w:rPr>
        <w:t xml:space="preserve"> </w:t>
      </w:r>
      <w:proofErr w:type="spellStart"/>
      <w:r w:rsidRPr="00251E44">
        <w:rPr>
          <w:rFonts w:ascii="Times New Roman" w:hAnsi="Times New Roman"/>
          <w:bCs/>
          <w:i/>
          <w:szCs w:val="22"/>
        </w:rPr>
        <w:t>fees</w:t>
      </w:r>
      <w:proofErr w:type="spellEnd"/>
      <w:r w:rsidRPr="00251E44">
        <w:rPr>
          <w:rFonts w:ascii="Times New Roman" w:hAnsi="Times New Roman"/>
          <w:bCs/>
          <w:i/>
          <w:szCs w:val="22"/>
        </w:rPr>
        <w:t xml:space="preserve">, </w:t>
      </w:r>
      <w:proofErr w:type="spellStart"/>
      <w:r w:rsidRPr="00251E44">
        <w:rPr>
          <w:rFonts w:ascii="Times New Roman" w:hAnsi="Times New Roman"/>
          <w:bCs/>
          <w:i/>
          <w:szCs w:val="22"/>
        </w:rPr>
        <w:t>page</w:t>
      </w:r>
      <w:proofErr w:type="spellEnd"/>
      <w:r w:rsidRPr="00251E44">
        <w:rPr>
          <w:rFonts w:ascii="Times New Roman" w:hAnsi="Times New Roman"/>
          <w:bCs/>
          <w:i/>
          <w:szCs w:val="22"/>
        </w:rPr>
        <w:t xml:space="preserve"> </w:t>
      </w:r>
      <w:proofErr w:type="spellStart"/>
      <w:r w:rsidRPr="00251E44">
        <w:rPr>
          <w:rFonts w:ascii="Times New Roman" w:hAnsi="Times New Roman"/>
          <w:bCs/>
          <w:i/>
          <w:szCs w:val="22"/>
        </w:rPr>
        <w:t>charges</w:t>
      </w:r>
      <w:proofErr w:type="spellEnd"/>
      <w:r w:rsidRPr="00251E44">
        <w:rPr>
          <w:rFonts w:ascii="Times New Roman" w:hAnsi="Times New Roman"/>
          <w:bCs/>
          <w:i/>
          <w:szCs w:val="22"/>
        </w:rPr>
        <w:t>, κ.τ.λ.),</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ταχυδρομικά έξοδα που αφορούν το ερευνητικό πρόγραμμα (π.χ. αποστολή ερωτηματολογίων),</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τραπεζικά έξοδα που καταβάλλονται για συμμετοχές σε συνέδρια,</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τεχνική υποστήριξη που απαιτείται στην υλοποίηση του έργου (πληρωμές προσωπικού),</w:t>
      </w:r>
    </w:p>
    <w:p w:rsidR="006143CF" w:rsidRPr="00251E44" w:rsidRDefault="006143CF" w:rsidP="006143CF">
      <w:pPr>
        <w:pStyle w:val="a3"/>
        <w:numPr>
          <w:ilvl w:val="0"/>
          <w:numId w:val="13"/>
        </w:numPr>
        <w:jc w:val="both"/>
        <w:rPr>
          <w:rFonts w:ascii="Times New Roman" w:hAnsi="Times New Roman"/>
          <w:bCs/>
          <w:i/>
          <w:szCs w:val="22"/>
        </w:rPr>
      </w:pPr>
      <w:r w:rsidRPr="00251E44">
        <w:rPr>
          <w:rFonts w:ascii="Times New Roman" w:hAnsi="Times New Roman"/>
          <w:bCs/>
          <w:i/>
          <w:szCs w:val="22"/>
        </w:rPr>
        <w:t>αμοιβές Πανεπιστημιακών και τρίτων.</w:t>
      </w:r>
    </w:p>
    <w:p w:rsidR="006143CF" w:rsidRPr="00251E44" w:rsidRDefault="006143CF" w:rsidP="006143CF">
      <w:pPr>
        <w:pStyle w:val="a3"/>
        <w:tabs>
          <w:tab w:val="left" w:pos="3410"/>
        </w:tabs>
        <w:ind w:left="0"/>
        <w:jc w:val="both"/>
        <w:rPr>
          <w:rFonts w:ascii="Times New Roman" w:hAnsi="Times New Roman"/>
          <w:bCs/>
          <w:i/>
          <w:szCs w:val="22"/>
        </w:rPr>
      </w:pPr>
      <w:r w:rsidRPr="00251E44">
        <w:rPr>
          <w:rFonts w:ascii="Times New Roman" w:hAnsi="Times New Roman"/>
          <w:bCs/>
          <w:i/>
          <w:szCs w:val="22"/>
        </w:rPr>
        <w:tab/>
      </w:r>
    </w:p>
    <w:p w:rsidR="006143CF" w:rsidRPr="006143CF" w:rsidRDefault="006143CF" w:rsidP="006143CF">
      <w:pPr>
        <w:pStyle w:val="a3"/>
        <w:ind w:left="0"/>
        <w:jc w:val="both"/>
        <w:rPr>
          <w:rFonts w:ascii="Times New Roman" w:hAnsi="Times New Roman"/>
          <w:bCs/>
          <w:i/>
          <w:szCs w:val="22"/>
        </w:rPr>
      </w:pPr>
      <w:proofErr w:type="spellStart"/>
      <w:r w:rsidRPr="00251E44">
        <w:rPr>
          <w:rFonts w:ascii="Times New Roman" w:hAnsi="Times New Roman"/>
          <w:bCs/>
          <w:i/>
          <w:szCs w:val="22"/>
        </w:rPr>
        <w:lastRenderedPageBreak/>
        <w:t>βi</w:t>
      </w:r>
      <w:proofErr w:type="spellEnd"/>
      <w:r w:rsidRPr="00251E44">
        <w:rPr>
          <w:rFonts w:ascii="Times New Roman" w:hAnsi="Times New Roman"/>
          <w:bCs/>
          <w:i/>
          <w:szCs w:val="22"/>
        </w:rPr>
        <w:t>) Σε περίπτωση που ο Ε.Υ. δεν επιθυμεί να δημιουργηθεί νέο έργο με Ε.Υ. τον ίδιο, θα μπορεί με Υπεύθυνη Δήλωσή του που θα υποβάλλει στον ΕΛΚΕ να παραχωρεί την ιδιότητά του σε άλλο μέλος ΔΕΠ του Πανεπιστήμιου Μακεδονίας,</w:t>
      </w:r>
    </w:p>
    <w:p w:rsidR="006143CF" w:rsidRPr="00251E44" w:rsidRDefault="006143CF" w:rsidP="006143CF">
      <w:pPr>
        <w:pStyle w:val="a3"/>
        <w:ind w:left="0"/>
        <w:jc w:val="both"/>
        <w:rPr>
          <w:rFonts w:ascii="Times New Roman" w:hAnsi="Times New Roman"/>
          <w:bCs/>
          <w:i/>
          <w:szCs w:val="22"/>
        </w:rPr>
      </w:pPr>
      <w:proofErr w:type="spellStart"/>
      <w:r w:rsidRPr="00251E44">
        <w:rPr>
          <w:rFonts w:ascii="Times New Roman" w:hAnsi="Times New Roman"/>
          <w:bCs/>
          <w:i/>
          <w:szCs w:val="22"/>
        </w:rPr>
        <w:t>βii</w:t>
      </w:r>
      <w:proofErr w:type="spellEnd"/>
      <w:r w:rsidRPr="00251E44">
        <w:rPr>
          <w:rFonts w:ascii="Times New Roman" w:hAnsi="Times New Roman"/>
          <w:bCs/>
          <w:i/>
          <w:szCs w:val="22"/>
        </w:rPr>
        <w:t xml:space="preserve">) σε περίπτωση που ο Ε.Υ. έχει συνταξιοδοτηθεί ή βρίσκεται πλέον εκτός Πανεπιστημίου Μακεδονίας, ο Ε.Λ.Κ.Ε. θα απευθύνεται στο Ακαδημαϊκό Τμήμα στο οποίο ανήκε ο αρχικώς ορισμένος Ε.Υ. το οποίο καθίσταται αρμόδιο για τον ορισμό νέου Ε.Υ.. </w:t>
      </w:r>
    </w:p>
    <w:p w:rsidR="006143CF" w:rsidRPr="00251E44" w:rsidRDefault="006143CF" w:rsidP="006143CF">
      <w:pPr>
        <w:pStyle w:val="a3"/>
        <w:ind w:left="0"/>
        <w:jc w:val="both"/>
        <w:rPr>
          <w:rFonts w:ascii="Times New Roman" w:hAnsi="Times New Roman"/>
          <w:bCs/>
          <w:i/>
          <w:szCs w:val="22"/>
        </w:rPr>
      </w:pP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 xml:space="preserve">γ) Από τα παραπάνω εξαιρούνται όσα έργα είναι αυτοχρηματοδοτούμενα ή ιδρυματικά και οι Επιστημονικά Υπεύθυνοι έχουν οριστεί με απόφαση συλλογικού οργάνου ή με ΦΕΚ όπως π.χ. ERASMUS PLUS ΚΑ1, </w:t>
      </w:r>
    </w:p>
    <w:p w:rsidR="006143CF" w:rsidRPr="00251E44" w:rsidRDefault="006143CF" w:rsidP="006143CF">
      <w:pPr>
        <w:pStyle w:val="a3"/>
        <w:ind w:left="0"/>
        <w:jc w:val="both"/>
        <w:rPr>
          <w:rFonts w:ascii="Times New Roman" w:hAnsi="Times New Roman"/>
          <w:bCs/>
          <w:i/>
          <w:szCs w:val="22"/>
        </w:rPr>
      </w:pP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δ) i) Για όσα έργα δεν έχει γίνει η παρακράτηση 12% ως αμοιβή διαχείρισης θα προηγηθεί η παρακράτηση της αμοιβής διαχείρισης, προκειμένου να υπολογιστεί το υπόλοιπο για οποιοδήποτε ενέργεια και διαδικασία.</w:t>
      </w:r>
    </w:p>
    <w:p w:rsidR="006143CF" w:rsidRPr="00251E44" w:rsidRDefault="006143CF" w:rsidP="006143CF">
      <w:pPr>
        <w:pStyle w:val="a3"/>
        <w:ind w:left="0"/>
        <w:jc w:val="both"/>
        <w:rPr>
          <w:rFonts w:ascii="Times New Roman" w:hAnsi="Times New Roman"/>
          <w:bCs/>
          <w:i/>
          <w:szCs w:val="22"/>
        </w:rPr>
      </w:pPr>
      <w:r w:rsidRPr="00251E44">
        <w:rPr>
          <w:rFonts w:ascii="Times New Roman" w:hAnsi="Times New Roman"/>
          <w:bCs/>
          <w:i/>
          <w:szCs w:val="22"/>
        </w:rPr>
        <w:t>ii) Για όσα έργα δεν έχει αφαιρεθεί το ποσό που αντιστοιχεί σε τόκους, θα αφαιρεθεί το ποσό αυτό, προκειμένου να υπολογιστεί το υπόλοιπο για οποιοδήποτε ενέργεια και διαδικασία.».</w:t>
      </w:r>
    </w:p>
    <w:p w:rsidR="006143CF" w:rsidRPr="001210FE" w:rsidRDefault="006143CF" w:rsidP="006143CF">
      <w:pPr>
        <w:pStyle w:val="3"/>
        <w:tabs>
          <w:tab w:val="left" w:pos="7797"/>
        </w:tabs>
        <w:rPr>
          <w:bCs/>
          <w:sz w:val="22"/>
          <w:szCs w:val="22"/>
        </w:rPr>
      </w:pPr>
    </w:p>
    <w:p w:rsidR="004D0F33" w:rsidRPr="00E570C5" w:rsidRDefault="004D0F33" w:rsidP="004D0F33">
      <w:pPr>
        <w:ind w:right="-1"/>
        <w:jc w:val="center"/>
        <w:rPr>
          <w:rFonts w:ascii="Times New Roman" w:hAnsi="Times New Roman"/>
          <w:szCs w:val="22"/>
        </w:rPr>
      </w:pPr>
      <w:r w:rsidRPr="00E570C5">
        <w:rPr>
          <w:rFonts w:ascii="Times New Roman" w:hAnsi="Times New Roman"/>
          <w:szCs w:val="22"/>
        </w:rPr>
        <w:t xml:space="preserve">Ακριβές Απόσπασμα </w:t>
      </w:r>
    </w:p>
    <w:p w:rsidR="004D0F33" w:rsidRPr="00E570C5" w:rsidRDefault="004D0F33" w:rsidP="004D0F33">
      <w:pPr>
        <w:ind w:right="-1"/>
        <w:jc w:val="center"/>
        <w:rPr>
          <w:rFonts w:ascii="Times New Roman" w:hAnsi="Times New Roman"/>
          <w:szCs w:val="22"/>
        </w:rPr>
      </w:pPr>
      <w:r>
        <w:rPr>
          <w:rFonts w:ascii="Times New Roman" w:hAnsi="Times New Roman"/>
          <w:szCs w:val="22"/>
        </w:rPr>
        <w:t xml:space="preserve">Θεσσαλονίκη </w:t>
      </w:r>
      <w:r w:rsidR="006143CF">
        <w:rPr>
          <w:rFonts w:ascii="Times New Roman" w:hAnsi="Times New Roman"/>
          <w:szCs w:val="22"/>
        </w:rPr>
        <w:t>29</w:t>
      </w:r>
      <w:r>
        <w:rPr>
          <w:rFonts w:ascii="Times New Roman" w:hAnsi="Times New Roman"/>
          <w:szCs w:val="22"/>
        </w:rPr>
        <w:t>/1</w:t>
      </w:r>
      <w:r w:rsidRPr="004D0F33">
        <w:rPr>
          <w:rFonts w:ascii="Times New Roman" w:hAnsi="Times New Roman"/>
          <w:szCs w:val="22"/>
        </w:rPr>
        <w:t>2</w:t>
      </w:r>
      <w:r w:rsidRPr="00E570C5">
        <w:rPr>
          <w:rFonts w:ascii="Times New Roman" w:hAnsi="Times New Roman"/>
          <w:szCs w:val="22"/>
        </w:rPr>
        <w:t>/2020</w:t>
      </w:r>
    </w:p>
    <w:p w:rsidR="004D0F33" w:rsidRPr="00E570C5" w:rsidRDefault="004D0F33" w:rsidP="004D0F33">
      <w:pPr>
        <w:ind w:right="-1"/>
        <w:jc w:val="center"/>
        <w:rPr>
          <w:rFonts w:ascii="Times New Roman" w:hAnsi="Times New Roman"/>
          <w:szCs w:val="22"/>
        </w:rPr>
      </w:pPr>
      <w:r w:rsidRPr="00E570C5">
        <w:rPr>
          <w:rFonts w:ascii="Times New Roman" w:hAnsi="Times New Roman"/>
          <w:szCs w:val="22"/>
        </w:rPr>
        <w:t>Ο Πρόεδρος</w:t>
      </w:r>
    </w:p>
    <w:p w:rsidR="004D0F33" w:rsidRPr="00E570C5" w:rsidRDefault="004D0F33" w:rsidP="004D0F33">
      <w:pPr>
        <w:ind w:right="-1"/>
        <w:jc w:val="center"/>
        <w:rPr>
          <w:rFonts w:ascii="Times New Roman" w:hAnsi="Times New Roman"/>
          <w:szCs w:val="22"/>
        </w:rPr>
      </w:pPr>
      <w:r w:rsidRPr="00E570C5">
        <w:rPr>
          <w:rFonts w:ascii="Times New Roman" w:hAnsi="Times New Roman"/>
          <w:szCs w:val="22"/>
        </w:rPr>
        <w:t>της Επιτροπής Ερευνών και Διαχείρισης</w:t>
      </w:r>
    </w:p>
    <w:p w:rsidR="004D0F33" w:rsidRPr="00E570C5" w:rsidRDefault="004D0F33" w:rsidP="004D0F33">
      <w:pPr>
        <w:ind w:right="-1"/>
        <w:jc w:val="center"/>
        <w:rPr>
          <w:rFonts w:ascii="Times New Roman" w:hAnsi="Times New Roman"/>
          <w:szCs w:val="22"/>
        </w:rPr>
      </w:pPr>
      <w:r w:rsidRPr="00E570C5">
        <w:rPr>
          <w:rFonts w:ascii="Times New Roman" w:hAnsi="Times New Roman"/>
          <w:szCs w:val="22"/>
        </w:rPr>
        <w:t>του Ε.Λ.Κ.Ε.</w:t>
      </w:r>
    </w:p>
    <w:p w:rsidR="004D0F33" w:rsidRPr="00E570C5" w:rsidRDefault="004D0F33" w:rsidP="004D0F33">
      <w:pPr>
        <w:ind w:right="-1"/>
        <w:jc w:val="center"/>
        <w:rPr>
          <w:rFonts w:ascii="Times New Roman" w:hAnsi="Times New Roman"/>
          <w:szCs w:val="22"/>
        </w:rPr>
      </w:pPr>
      <w:r w:rsidRPr="00E570C5">
        <w:rPr>
          <w:rFonts w:ascii="Times New Roman" w:hAnsi="Times New Roman"/>
          <w:szCs w:val="22"/>
        </w:rPr>
        <w:t>(Επιτροπή Ερευνών)</w:t>
      </w:r>
    </w:p>
    <w:p w:rsidR="004D0F33" w:rsidRPr="00E570C5" w:rsidRDefault="004D0F33" w:rsidP="004D0F33">
      <w:pPr>
        <w:pStyle w:val="Emanuel"/>
        <w:ind w:right="-1"/>
        <w:jc w:val="center"/>
        <w:rPr>
          <w:rFonts w:ascii="Times New Roman" w:hAnsi="Times New Roman"/>
          <w:color w:val="auto"/>
          <w:sz w:val="22"/>
          <w:szCs w:val="22"/>
        </w:rPr>
      </w:pPr>
      <w:r w:rsidRPr="00E570C5">
        <w:rPr>
          <w:rFonts w:ascii="Times New Roman" w:hAnsi="Times New Roman"/>
          <w:color w:val="auto"/>
          <w:sz w:val="22"/>
          <w:szCs w:val="22"/>
        </w:rPr>
        <w:t>Αντιπρύτανης Έρευνας και Δια Βίου Εκπαίδευσης</w:t>
      </w:r>
    </w:p>
    <w:p w:rsidR="004D0F33" w:rsidRPr="00AE5F15" w:rsidRDefault="004D0F33" w:rsidP="004D0F33">
      <w:pPr>
        <w:tabs>
          <w:tab w:val="left" w:pos="8930"/>
        </w:tabs>
        <w:ind w:right="-1"/>
        <w:jc w:val="center"/>
        <w:rPr>
          <w:rFonts w:ascii="Times New Roman" w:hAnsi="Times New Roman"/>
          <w:szCs w:val="22"/>
        </w:rPr>
      </w:pPr>
    </w:p>
    <w:p w:rsidR="004D0F33" w:rsidRPr="00846759" w:rsidRDefault="004D0F33" w:rsidP="004D0F33">
      <w:pPr>
        <w:tabs>
          <w:tab w:val="left" w:pos="8930"/>
        </w:tabs>
        <w:ind w:right="-1"/>
        <w:jc w:val="center"/>
        <w:rPr>
          <w:rFonts w:ascii="Times New Roman" w:hAnsi="Times New Roman"/>
          <w:szCs w:val="22"/>
        </w:rPr>
      </w:pPr>
    </w:p>
    <w:p w:rsidR="00BA449D" w:rsidRPr="0051783F" w:rsidRDefault="004D0F33" w:rsidP="0051783F">
      <w:pPr>
        <w:ind w:right="-1"/>
        <w:jc w:val="center"/>
        <w:rPr>
          <w:rFonts w:ascii="Times New Roman" w:hAnsi="Times New Roman"/>
          <w:b/>
          <w:szCs w:val="22"/>
        </w:rPr>
      </w:pPr>
      <w:r w:rsidRPr="00846759">
        <w:rPr>
          <w:rFonts w:ascii="Times New Roman" w:hAnsi="Times New Roman"/>
          <w:b/>
          <w:szCs w:val="22"/>
        </w:rPr>
        <w:t>Καθηγητής Δημήτριος Χανδράκης</w:t>
      </w:r>
    </w:p>
    <w:p w:rsidR="00496D07" w:rsidRPr="002B318A" w:rsidRDefault="00496D07" w:rsidP="002B318A">
      <w:pPr>
        <w:spacing w:after="200" w:line="276" w:lineRule="auto"/>
        <w:rPr>
          <w:lang w:val="en-US"/>
        </w:rPr>
      </w:pPr>
    </w:p>
    <w:sectPr w:rsidR="00496D07" w:rsidRPr="002B318A" w:rsidSect="0051783F">
      <w:footerReference w:type="default" r:id="rId8"/>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EF" w:rsidRDefault="00C111EF" w:rsidP="002E4488">
      <w:r>
        <w:separator/>
      </w:r>
    </w:p>
  </w:endnote>
  <w:endnote w:type="continuationSeparator" w:id="0">
    <w:p w:rsidR="00C111EF" w:rsidRDefault="00C111EF" w:rsidP="002E44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PA-Souvenir">
    <w:altName w:val="Arial"/>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88" w:rsidRPr="00D019F4" w:rsidRDefault="002E4488" w:rsidP="002E4488">
    <w:pPr>
      <w:pStyle w:val="a6"/>
      <w:jc w:val="center"/>
      <w:rPr>
        <w:rFonts w:ascii="Book Antiqua" w:hAnsi="Book Antiqua"/>
        <w:i/>
        <w:iCs/>
        <w:sz w:val="18"/>
        <w:szCs w:val="18"/>
      </w:rPr>
    </w:pPr>
    <w:r w:rsidRPr="00D019F4">
      <w:rPr>
        <w:rFonts w:ascii="Book Antiqua" w:hAnsi="Book Antiqua"/>
        <w:i/>
        <w:iCs/>
        <w:sz w:val="18"/>
        <w:szCs w:val="18"/>
      </w:rPr>
      <w:t xml:space="preserve">Συνεδρίαση </w:t>
    </w:r>
    <w:r w:rsidR="00C66376">
      <w:rPr>
        <w:rFonts w:ascii="Book Antiqua" w:hAnsi="Book Antiqua"/>
        <w:i/>
        <w:iCs/>
        <w:sz w:val="18"/>
        <w:szCs w:val="18"/>
      </w:rPr>
      <w:t xml:space="preserve">Επιτροπής Ερευνών υπ’ </w:t>
    </w:r>
    <w:proofErr w:type="spellStart"/>
    <w:r w:rsidR="00C66376">
      <w:rPr>
        <w:rFonts w:ascii="Book Antiqua" w:hAnsi="Book Antiqua"/>
        <w:i/>
        <w:iCs/>
        <w:sz w:val="18"/>
        <w:szCs w:val="18"/>
      </w:rPr>
      <w:t>αριθμ</w:t>
    </w:r>
    <w:proofErr w:type="spellEnd"/>
    <w:r w:rsidR="00C66376">
      <w:rPr>
        <w:rFonts w:ascii="Book Antiqua" w:hAnsi="Book Antiqua"/>
        <w:i/>
        <w:iCs/>
        <w:sz w:val="18"/>
        <w:szCs w:val="18"/>
      </w:rPr>
      <w:t xml:space="preserve">. </w:t>
    </w:r>
    <w:r w:rsidR="004D0F33">
      <w:rPr>
        <w:rFonts w:ascii="Book Antiqua" w:hAnsi="Book Antiqua"/>
        <w:i/>
        <w:iCs/>
        <w:sz w:val="18"/>
        <w:szCs w:val="18"/>
      </w:rPr>
      <w:t>31</w:t>
    </w:r>
    <w:r w:rsidR="004D0F33">
      <w:rPr>
        <w:rFonts w:ascii="Book Antiqua" w:hAnsi="Book Antiqua"/>
        <w:i/>
        <w:iCs/>
        <w:sz w:val="18"/>
        <w:szCs w:val="18"/>
        <w:lang w:val="en-US"/>
      </w:rPr>
      <w:t>3</w:t>
    </w:r>
    <w:r w:rsidR="004D0F33">
      <w:rPr>
        <w:rFonts w:ascii="Book Antiqua" w:hAnsi="Book Antiqua"/>
        <w:i/>
        <w:iCs/>
        <w:sz w:val="18"/>
        <w:szCs w:val="18"/>
      </w:rPr>
      <w:t>/</w:t>
    </w:r>
    <w:r w:rsidR="004D0F33">
      <w:rPr>
        <w:rFonts w:ascii="Book Antiqua" w:hAnsi="Book Antiqua"/>
        <w:i/>
        <w:iCs/>
        <w:sz w:val="18"/>
        <w:szCs w:val="18"/>
        <w:lang w:val="en-US"/>
      </w:rPr>
      <w:t>23</w:t>
    </w:r>
    <w:r w:rsidR="0039517B">
      <w:rPr>
        <w:rFonts w:ascii="Book Antiqua" w:hAnsi="Book Antiqua"/>
        <w:i/>
        <w:iCs/>
        <w:sz w:val="18"/>
        <w:szCs w:val="18"/>
      </w:rPr>
      <w:t>.</w:t>
    </w:r>
    <w:r w:rsidR="00180976">
      <w:rPr>
        <w:rFonts w:ascii="Book Antiqua" w:hAnsi="Book Antiqua"/>
        <w:i/>
        <w:iCs/>
        <w:sz w:val="18"/>
        <w:szCs w:val="18"/>
      </w:rPr>
      <w:t>12</w:t>
    </w:r>
    <w:r w:rsidR="005E76AE">
      <w:rPr>
        <w:rFonts w:ascii="Book Antiqua" w:hAnsi="Book Antiqua"/>
        <w:i/>
        <w:iCs/>
        <w:sz w:val="18"/>
        <w:szCs w:val="18"/>
      </w:rPr>
      <w:t>.2020</w:t>
    </w:r>
  </w:p>
  <w:p w:rsidR="002E4488" w:rsidRDefault="002E44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EF" w:rsidRDefault="00C111EF" w:rsidP="002E4488">
      <w:r>
        <w:separator/>
      </w:r>
    </w:p>
  </w:footnote>
  <w:footnote w:type="continuationSeparator" w:id="0">
    <w:p w:rsidR="00C111EF" w:rsidRDefault="00C111EF" w:rsidP="002E4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946"/>
    <w:multiLevelType w:val="hybridMultilevel"/>
    <w:tmpl w:val="6C9AAA38"/>
    <w:lvl w:ilvl="0" w:tplc="7ACA3004">
      <w:start w:val="5"/>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D74F25"/>
    <w:multiLevelType w:val="hybridMultilevel"/>
    <w:tmpl w:val="AD4A6A7E"/>
    <w:lvl w:ilvl="0" w:tplc="EB12D072">
      <w:start w:val="1"/>
      <w:numFmt w:val="lowerRoman"/>
      <w:lvlText w:val="%1."/>
      <w:lvlJc w:val="left"/>
      <w:pPr>
        <w:ind w:left="1080" w:hanging="720"/>
      </w:pPr>
      <w:rPr>
        <w:rFonts w:eastAsia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186FC0"/>
    <w:multiLevelType w:val="hybridMultilevel"/>
    <w:tmpl w:val="79C03C8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E343EC"/>
    <w:multiLevelType w:val="hybridMultilevel"/>
    <w:tmpl w:val="08FE79F2"/>
    <w:lvl w:ilvl="0" w:tplc="D7EC3B4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AC5597"/>
    <w:multiLevelType w:val="hybridMultilevel"/>
    <w:tmpl w:val="8C0C4FE8"/>
    <w:lvl w:ilvl="0" w:tplc="0E8EE112">
      <w:start w:val="1"/>
      <w:numFmt w:val="decimal"/>
      <w:lvlText w:val="%1."/>
      <w:lvlJc w:val="left"/>
      <w:pPr>
        <w:tabs>
          <w:tab w:val="num" w:pos="644"/>
        </w:tabs>
        <w:ind w:left="644" w:hanging="360"/>
      </w:pPr>
      <w:rPr>
        <w:b w:val="0"/>
        <w:i w:val="0"/>
      </w:rPr>
    </w:lvl>
    <w:lvl w:ilvl="1" w:tplc="F4A2830E">
      <w:numFmt w:val="bullet"/>
      <w:lvlText w:val="•"/>
      <w:lvlJc w:val="left"/>
      <w:pPr>
        <w:ind w:left="1440" w:hanging="360"/>
      </w:pPr>
      <w:rPr>
        <w:rFonts w:ascii="Times New Roman" w:eastAsia="Calibri"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D22F9C"/>
    <w:multiLevelType w:val="hybridMultilevel"/>
    <w:tmpl w:val="72160EE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8545610"/>
    <w:multiLevelType w:val="hybridMultilevel"/>
    <w:tmpl w:val="79E6CD94"/>
    <w:lvl w:ilvl="0" w:tplc="2062B35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1327FC"/>
    <w:multiLevelType w:val="hybridMultilevel"/>
    <w:tmpl w:val="05F0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665AB9"/>
    <w:multiLevelType w:val="hybridMultilevel"/>
    <w:tmpl w:val="065099B8"/>
    <w:lvl w:ilvl="0" w:tplc="F3A23D82">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4B7919"/>
    <w:multiLevelType w:val="hybridMultilevel"/>
    <w:tmpl w:val="3B267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4A6723"/>
    <w:multiLevelType w:val="hybridMultilevel"/>
    <w:tmpl w:val="E22A126A"/>
    <w:lvl w:ilvl="0" w:tplc="46EE903E">
      <w:start w:val="1"/>
      <w:numFmt w:val="decimal"/>
      <w:lvlText w:val="%1."/>
      <w:lvlJc w:val="left"/>
      <w:pPr>
        <w:ind w:left="720" w:hanging="360"/>
      </w:pPr>
      <w:rPr>
        <w:rFonts w:ascii="Times New Roman" w:eastAsia="Times New Roman" w:hAnsi="Times New Roman" w:cs="Times New Roman"/>
      </w:rPr>
    </w:lvl>
    <w:lvl w:ilvl="1" w:tplc="04080019">
      <w:start w:val="1"/>
      <w:numFmt w:val="lowerLetter"/>
      <w:lvlText w:val="%2."/>
      <w:lvlJc w:val="left"/>
      <w:pPr>
        <w:ind w:left="1440" w:hanging="360"/>
      </w:pPr>
    </w:lvl>
    <w:lvl w:ilvl="2" w:tplc="D45A1B4E">
      <w:start w:val="2"/>
      <w:numFmt w:val="lowerRoman"/>
      <w:lvlText w:val="%3."/>
      <w:lvlJc w:val="right"/>
      <w:pPr>
        <w:ind w:left="2160" w:hanging="180"/>
      </w:pPr>
      <w:rPr>
        <w:rFonts w:hint="default"/>
        <w:b/>
        <w:i w:val="0"/>
        <w:sz w:val="24"/>
        <w:szCs w:val="24"/>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8"/>
  </w:num>
  <w:num w:numId="10">
    <w:abstractNumId w:val="2"/>
  </w:num>
  <w:num w:numId="11">
    <w:abstractNumId w:val="6"/>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6D07"/>
    <w:rsid w:val="00074343"/>
    <w:rsid w:val="00081A83"/>
    <w:rsid w:val="000958FC"/>
    <w:rsid w:val="000C2887"/>
    <w:rsid w:val="000F2355"/>
    <w:rsid w:val="00113811"/>
    <w:rsid w:val="00180976"/>
    <w:rsid w:val="001A68CA"/>
    <w:rsid w:val="001C213C"/>
    <w:rsid w:val="001D5353"/>
    <w:rsid w:val="001F6D1A"/>
    <w:rsid w:val="002053FC"/>
    <w:rsid w:val="00205F00"/>
    <w:rsid w:val="0021374C"/>
    <w:rsid w:val="0025530A"/>
    <w:rsid w:val="002B318A"/>
    <w:rsid w:val="002B416D"/>
    <w:rsid w:val="002C72E4"/>
    <w:rsid w:val="002D20A7"/>
    <w:rsid w:val="002E4488"/>
    <w:rsid w:val="002F50AA"/>
    <w:rsid w:val="0030369F"/>
    <w:rsid w:val="00320855"/>
    <w:rsid w:val="00330275"/>
    <w:rsid w:val="00366FBA"/>
    <w:rsid w:val="0039517B"/>
    <w:rsid w:val="003A2DAD"/>
    <w:rsid w:val="00496D07"/>
    <w:rsid w:val="004D0F33"/>
    <w:rsid w:val="0051364C"/>
    <w:rsid w:val="0051783F"/>
    <w:rsid w:val="005347BF"/>
    <w:rsid w:val="005437CB"/>
    <w:rsid w:val="0056745A"/>
    <w:rsid w:val="005677C9"/>
    <w:rsid w:val="00576EEA"/>
    <w:rsid w:val="00592C67"/>
    <w:rsid w:val="005E76AE"/>
    <w:rsid w:val="005F51F9"/>
    <w:rsid w:val="006143CF"/>
    <w:rsid w:val="0062638C"/>
    <w:rsid w:val="00676A6F"/>
    <w:rsid w:val="0069792C"/>
    <w:rsid w:val="006A427B"/>
    <w:rsid w:val="006A47A8"/>
    <w:rsid w:val="006B06C3"/>
    <w:rsid w:val="007279C5"/>
    <w:rsid w:val="00732740"/>
    <w:rsid w:val="00733491"/>
    <w:rsid w:val="00770EB5"/>
    <w:rsid w:val="007775BC"/>
    <w:rsid w:val="007A2ACE"/>
    <w:rsid w:val="007E1262"/>
    <w:rsid w:val="00820C21"/>
    <w:rsid w:val="00837182"/>
    <w:rsid w:val="0084081A"/>
    <w:rsid w:val="00841CDA"/>
    <w:rsid w:val="008E0650"/>
    <w:rsid w:val="008F1BEF"/>
    <w:rsid w:val="008F5804"/>
    <w:rsid w:val="00914812"/>
    <w:rsid w:val="009355B1"/>
    <w:rsid w:val="009515F1"/>
    <w:rsid w:val="009613BA"/>
    <w:rsid w:val="00963A36"/>
    <w:rsid w:val="009D4848"/>
    <w:rsid w:val="00A140A7"/>
    <w:rsid w:val="00A22CFC"/>
    <w:rsid w:val="00A400C5"/>
    <w:rsid w:val="00A70580"/>
    <w:rsid w:val="00AB160E"/>
    <w:rsid w:val="00AE5F15"/>
    <w:rsid w:val="00AE7E09"/>
    <w:rsid w:val="00B03BF4"/>
    <w:rsid w:val="00B63DA6"/>
    <w:rsid w:val="00BA449D"/>
    <w:rsid w:val="00BF06A1"/>
    <w:rsid w:val="00C02F8B"/>
    <w:rsid w:val="00C111EF"/>
    <w:rsid w:val="00C66376"/>
    <w:rsid w:val="00D01247"/>
    <w:rsid w:val="00D213AB"/>
    <w:rsid w:val="00D56182"/>
    <w:rsid w:val="00D76068"/>
    <w:rsid w:val="00D76340"/>
    <w:rsid w:val="00DB2EB9"/>
    <w:rsid w:val="00DB4333"/>
    <w:rsid w:val="00DE07CC"/>
    <w:rsid w:val="00DF37EF"/>
    <w:rsid w:val="00E3332F"/>
    <w:rsid w:val="00E93CDC"/>
    <w:rsid w:val="00E942BC"/>
    <w:rsid w:val="00EB2D06"/>
    <w:rsid w:val="00EC1F35"/>
    <w:rsid w:val="00EC42DD"/>
    <w:rsid w:val="00EF2318"/>
    <w:rsid w:val="00F14269"/>
    <w:rsid w:val="00F3687D"/>
    <w:rsid w:val="00F63520"/>
    <w:rsid w:val="00F905B8"/>
    <w:rsid w:val="00FD398D"/>
    <w:rsid w:val="00FF34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07"/>
    <w:pPr>
      <w:spacing w:after="0" w:line="240" w:lineRule="auto"/>
    </w:pPr>
    <w:rPr>
      <w:rFonts w:ascii="Comic Sans MS" w:eastAsia="Times New Roman" w:hAnsi="Comic Sans MS" w:cs="Times New Roman"/>
      <w:szCs w:val="24"/>
      <w:lang w:eastAsia="el-GR"/>
    </w:rPr>
  </w:style>
  <w:style w:type="paragraph" w:styleId="9">
    <w:name w:val="heading 9"/>
    <w:basedOn w:val="a"/>
    <w:next w:val="a"/>
    <w:link w:val="9Char"/>
    <w:qFormat/>
    <w:rsid w:val="00496D07"/>
    <w:pPr>
      <w:keepNext/>
      <w:jc w:val="center"/>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496D07"/>
    <w:rPr>
      <w:rFonts w:ascii="Times New Roman" w:eastAsia="Times New Roman" w:hAnsi="Times New Roman" w:cs="Times New Roman"/>
      <w:b/>
      <w:sz w:val="26"/>
      <w:szCs w:val="20"/>
      <w:lang w:eastAsia="el-GR"/>
    </w:rPr>
  </w:style>
  <w:style w:type="paragraph" w:styleId="a3">
    <w:name w:val="List Paragraph"/>
    <w:basedOn w:val="a"/>
    <w:uiPriority w:val="99"/>
    <w:qFormat/>
    <w:rsid w:val="00496D07"/>
    <w:pPr>
      <w:ind w:left="720"/>
    </w:pPr>
  </w:style>
  <w:style w:type="paragraph" w:styleId="a4">
    <w:name w:val="Balloon Text"/>
    <w:basedOn w:val="a"/>
    <w:link w:val="Char"/>
    <w:uiPriority w:val="99"/>
    <w:semiHidden/>
    <w:unhideWhenUsed/>
    <w:rsid w:val="00DE07CC"/>
    <w:rPr>
      <w:rFonts w:ascii="Tahoma" w:hAnsi="Tahoma" w:cs="Tahoma"/>
      <w:sz w:val="16"/>
      <w:szCs w:val="16"/>
    </w:rPr>
  </w:style>
  <w:style w:type="character" w:customStyle="1" w:styleId="Char">
    <w:name w:val="Κείμενο πλαισίου Char"/>
    <w:basedOn w:val="a0"/>
    <w:link w:val="a4"/>
    <w:uiPriority w:val="99"/>
    <w:semiHidden/>
    <w:rsid w:val="00DE07CC"/>
    <w:rPr>
      <w:rFonts w:ascii="Tahoma" w:eastAsia="Times New Roman" w:hAnsi="Tahoma" w:cs="Tahoma"/>
      <w:sz w:val="16"/>
      <w:szCs w:val="16"/>
      <w:lang w:eastAsia="el-GR"/>
    </w:rPr>
  </w:style>
  <w:style w:type="paragraph" w:customStyle="1" w:styleId="Emanuel">
    <w:name w:val="Emanuel"/>
    <w:basedOn w:val="a"/>
    <w:rsid w:val="001F6D1A"/>
    <w:pPr>
      <w:jc w:val="both"/>
    </w:pPr>
    <w:rPr>
      <w:rFonts w:ascii="PA-Souvenir" w:hAnsi="PA-Souvenir"/>
      <w:color w:val="000080"/>
      <w:sz w:val="24"/>
    </w:rPr>
  </w:style>
  <w:style w:type="paragraph" w:styleId="a5">
    <w:name w:val="header"/>
    <w:basedOn w:val="a"/>
    <w:link w:val="Char0"/>
    <w:uiPriority w:val="99"/>
    <w:semiHidden/>
    <w:unhideWhenUsed/>
    <w:rsid w:val="002E4488"/>
    <w:pPr>
      <w:tabs>
        <w:tab w:val="center" w:pos="4153"/>
        <w:tab w:val="right" w:pos="8306"/>
      </w:tabs>
    </w:pPr>
  </w:style>
  <w:style w:type="character" w:customStyle="1" w:styleId="Char0">
    <w:name w:val="Κεφαλίδα Char"/>
    <w:basedOn w:val="a0"/>
    <w:link w:val="a5"/>
    <w:uiPriority w:val="99"/>
    <w:semiHidden/>
    <w:rsid w:val="002E4488"/>
    <w:rPr>
      <w:rFonts w:ascii="Comic Sans MS" w:eastAsia="Times New Roman" w:hAnsi="Comic Sans MS" w:cs="Times New Roman"/>
      <w:szCs w:val="24"/>
      <w:lang w:eastAsia="el-GR"/>
    </w:rPr>
  </w:style>
  <w:style w:type="paragraph" w:styleId="a6">
    <w:name w:val="footer"/>
    <w:basedOn w:val="a"/>
    <w:link w:val="Char1"/>
    <w:unhideWhenUsed/>
    <w:rsid w:val="002E4488"/>
    <w:pPr>
      <w:tabs>
        <w:tab w:val="center" w:pos="4153"/>
        <w:tab w:val="right" w:pos="8306"/>
      </w:tabs>
    </w:pPr>
  </w:style>
  <w:style w:type="character" w:customStyle="1" w:styleId="Char1">
    <w:name w:val="Υποσέλιδο Char"/>
    <w:basedOn w:val="a0"/>
    <w:link w:val="a6"/>
    <w:rsid w:val="002E4488"/>
    <w:rPr>
      <w:rFonts w:ascii="Comic Sans MS" w:eastAsia="Times New Roman" w:hAnsi="Comic Sans MS" w:cs="Times New Roman"/>
      <w:szCs w:val="24"/>
      <w:lang w:eastAsia="el-GR"/>
    </w:rPr>
  </w:style>
  <w:style w:type="paragraph" w:styleId="3">
    <w:name w:val="Body Text 3"/>
    <w:basedOn w:val="a"/>
    <w:link w:val="3Char"/>
    <w:rsid w:val="006143CF"/>
    <w:pPr>
      <w:jc w:val="both"/>
    </w:pPr>
    <w:rPr>
      <w:rFonts w:ascii="Times New Roman" w:hAnsi="Times New Roman"/>
      <w:sz w:val="26"/>
      <w:szCs w:val="20"/>
    </w:rPr>
  </w:style>
  <w:style w:type="character" w:customStyle="1" w:styleId="3Char">
    <w:name w:val="Σώμα κείμενου 3 Char"/>
    <w:basedOn w:val="a0"/>
    <w:link w:val="3"/>
    <w:rsid w:val="006143CF"/>
    <w:rPr>
      <w:rFonts w:ascii="Times New Roman" w:eastAsia="Times New Roman" w:hAnsi="Times New Roman" w:cs="Times New Roman"/>
      <w:sz w:val="26"/>
      <w:szCs w:val="20"/>
      <w:lang w:eastAsia="el-GR"/>
    </w:rPr>
  </w:style>
</w:styles>
</file>

<file path=word/webSettings.xml><?xml version="1.0" encoding="utf-8"?>
<w:webSettings xmlns:r="http://schemas.openxmlformats.org/officeDocument/2006/relationships" xmlns:w="http://schemas.openxmlformats.org/wordprocessingml/2006/main">
  <w:divs>
    <w:div w:id="114563039">
      <w:bodyDiv w:val="1"/>
      <w:marLeft w:val="0"/>
      <w:marRight w:val="0"/>
      <w:marTop w:val="0"/>
      <w:marBottom w:val="0"/>
      <w:divBdr>
        <w:top w:val="none" w:sz="0" w:space="0" w:color="auto"/>
        <w:left w:val="none" w:sz="0" w:space="0" w:color="auto"/>
        <w:bottom w:val="none" w:sz="0" w:space="0" w:color="auto"/>
        <w:right w:val="none" w:sz="0" w:space="0" w:color="auto"/>
      </w:divBdr>
    </w:div>
    <w:div w:id="1457216476">
      <w:bodyDiv w:val="1"/>
      <w:marLeft w:val="0"/>
      <w:marRight w:val="0"/>
      <w:marTop w:val="0"/>
      <w:marBottom w:val="0"/>
      <w:divBdr>
        <w:top w:val="none" w:sz="0" w:space="0" w:color="auto"/>
        <w:left w:val="none" w:sz="0" w:space="0" w:color="auto"/>
        <w:bottom w:val="none" w:sz="0" w:space="0" w:color="auto"/>
        <w:right w:val="none" w:sz="0" w:space="0" w:color="auto"/>
      </w:divBdr>
    </w:div>
    <w:div w:id="20423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FDF8-4AA7-49C8-A4BE-30AB582A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b.stathaki</dc:creator>
  <cp:lastModifiedBy>b.stathaki</cp:lastModifiedBy>
  <cp:revision>2</cp:revision>
  <cp:lastPrinted>2020-12-28T12:32:00Z</cp:lastPrinted>
  <dcterms:created xsi:type="dcterms:W3CDTF">2021-01-08T10:50:00Z</dcterms:created>
  <dcterms:modified xsi:type="dcterms:W3CDTF">2021-01-08T10:50:00Z</dcterms:modified>
</cp:coreProperties>
</file>