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A1" w:rsidRPr="0040318C" w:rsidRDefault="00CA51CC" w:rsidP="00F2739D">
      <w:pPr>
        <w:jc w:val="center"/>
        <w:rPr>
          <w:rFonts w:cstheme="minorHAnsi"/>
          <w:b/>
          <w:sz w:val="28"/>
          <w:u w:val="single"/>
        </w:rPr>
      </w:pPr>
      <w:r w:rsidRPr="0040318C">
        <w:rPr>
          <w:rFonts w:cstheme="minorHAnsi"/>
          <w:b/>
          <w:sz w:val="28"/>
          <w:u w:val="single"/>
        </w:rPr>
        <w:t>ΜΕΤΑΚΙΝΗΣΕΙΣ ΟΙ ΟΠΟΙΕΣ ΕΚΚΑΘΑΡΙΖΟΝΤΑΙ ΜΕ ΤΟΝ ΟΔΗΓΟ ΧΡΗΜΑΤΟΔΟΤΗΣΗΣ ΤΟΥ ΕΛΚΕ</w:t>
      </w:r>
    </w:p>
    <w:p w:rsidR="004C1E0F" w:rsidRPr="0040318C" w:rsidRDefault="004C1E0F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Πριν από τη μετακίνηση, </w:t>
      </w:r>
      <w:r w:rsidR="005830E2">
        <w:rPr>
          <w:rFonts w:cstheme="minorHAnsi"/>
        </w:rPr>
        <w:t>απαιτείται η κατάθεση τ</w:t>
      </w:r>
      <w:r w:rsidRPr="0040318C">
        <w:rPr>
          <w:rFonts w:cstheme="minorHAnsi"/>
        </w:rPr>
        <w:t>η</w:t>
      </w:r>
      <w:r w:rsidR="005830E2">
        <w:rPr>
          <w:rFonts w:cstheme="minorHAnsi"/>
        </w:rPr>
        <w:t>ς</w:t>
      </w:r>
      <w:r w:rsidRPr="0040318C">
        <w:rPr>
          <w:rFonts w:cstheme="minorHAnsi"/>
        </w:rPr>
        <w:t xml:space="preserve"> προβλεπόμενη</w:t>
      </w:r>
      <w:r w:rsidR="005830E2">
        <w:rPr>
          <w:rFonts w:cstheme="minorHAnsi"/>
        </w:rPr>
        <w:t>ς</w:t>
      </w:r>
      <w:r w:rsidRPr="0040318C">
        <w:rPr>
          <w:rFonts w:cstheme="minorHAnsi"/>
        </w:rPr>
        <w:t xml:space="preserve"> αίτηση</w:t>
      </w:r>
      <w:r w:rsidR="005830E2">
        <w:rPr>
          <w:rFonts w:cstheme="minorHAnsi"/>
        </w:rPr>
        <w:t>ς</w:t>
      </w:r>
      <w:r w:rsidRPr="0040318C">
        <w:rPr>
          <w:rFonts w:cstheme="minorHAnsi"/>
        </w:rPr>
        <w:t xml:space="preserve"> μετακίνησης.</w:t>
      </w:r>
    </w:p>
    <w:p w:rsidR="00377E8F" w:rsidRPr="0040318C" w:rsidRDefault="00377E8F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  <w:b/>
          <w:color w:val="FF0000"/>
        </w:rPr>
        <w:t>ΠΡΟΣΟΧΗ</w:t>
      </w:r>
      <w:r w:rsidRPr="0040318C">
        <w:rPr>
          <w:rFonts w:cstheme="minorHAnsi"/>
        </w:rPr>
        <w:t xml:space="preserve">  Σε περίπτωση μετακίνησης με </w:t>
      </w:r>
      <w:r w:rsidR="005830E2">
        <w:rPr>
          <w:rFonts w:cstheme="minorHAnsi"/>
        </w:rPr>
        <w:t xml:space="preserve">Ι.Χ. </w:t>
      </w:r>
      <w:r w:rsidRPr="0040318C">
        <w:rPr>
          <w:rFonts w:cstheme="minorHAnsi"/>
        </w:rPr>
        <w:t xml:space="preserve">αυτοκίνητο προηγείται </w:t>
      </w:r>
      <w:r w:rsidR="005830E2">
        <w:rPr>
          <w:rFonts w:cstheme="minorHAnsi"/>
        </w:rPr>
        <w:t xml:space="preserve">αναζήτηση </w:t>
      </w:r>
      <w:r w:rsidR="005830E2">
        <w:rPr>
          <w:sz w:val="23"/>
          <w:szCs w:val="23"/>
        </w:rPr>
        <w:t xml:space="preserve">ύπαρξης ή μη απευθείας σύνδεσης καθώς και για το αντίτιμο του αντίστοιχου αεροπορικού εισιτηρίου </w:t>
      </w:r>
      <w:r w:rsidRPr="0040318C">
        <w:rPr>
          <w:rFonts w:cstheme="minorHAnsi"/>
        </w:rPr>
        <w:t xml:space="preserve">(βλ. </w:t>
      </w:r>
      <w:r w:rsidR="005830E2">
        <w:rPr>
          <w:rFonts w:cstheme="minorHAnsi"/>
        </w:rPr>
        <w:t>Ο</w:t>
      </w:r>
      <w:r w:rsidRPr="0040318C">
        <w:rPr>
          <w:rFonts w:cstheme="minorHAnsi"/>
        </w:rPr>
        <w:t xml:space="preserve">δηγό </w:t>
      </w:r>
      <w:r w:rsidR="005830E2">
        <w:rPr>
          <w:rFonts w:cstheme="minorHAnsi"/>
        </w:rPr>
        <w:t xml:space="preserve">Χρηματοδότησης </w:t>
      </w:r>
      <w:r w:rsidRPr="0040318C">
        <w:rPr>
          <w:rFonts w:cstheme="minorHAnsi"/>
        </w:rPr>
        <w:t>σελ.</w:t>
      </w:r>
      <w:r w:rsidR="004C1E0F" w:rsidRPr="0040318C">
        <w:rPr>
          <w:rFonts w:cstheme="minorHAnsi"/>
        </w:rPr>
        <w:t>100-101</w:t>
      </w:r>
      <w:r w:rsidRPr="0040318C">
        <w:rPr>
          <w:rFonts w:cstheme="minorHAnsi"/>
        </w:rPr>
        <w:t>)</w:t>
      </w:r>
    </w:p>
    <w:p w:rsidR="00377E8F" w:rsidRPr="005830E2" w:rsidRDefault="005830E2" w:rsidP="002B041E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Μετά την πραγματοποίηση της μετακίνησης </w:t>
      </w:r>
      <w:r w:rsidR="008E43C4">
        <w:rPr>
          <w:rFonts w:cstheme="minorHAnsi"/>
        </w:rPr>
        <w:t xml:space="preserve"> κ</w:t>
      </w:r>
      <w:r w:rsidR="0026435B">
        <w:rPr>
          <w:rFonts w:cstheme="minorHAnsi"/>
        </w:rPr>
        <w:t xml:space="preserve">ατατίθεται εντολή δαπάνης μέσω </w:t>
      </w:r>
      <w:proofErr w:type="spellStart"/>
      <w:r w:rsidR="0026435B">
        <w:rPr>
          <w:rFonts w:cstheme="minorHAnsi"/>
          <w:lang w:val="en-US"/>
        </w:rPr>
        <w:t>webrescom</w:t>
      </w:r>
      <w:proofErr w:type="spellEnd"/>
      <w:r>
        <w:rPr>
          <w:rFonts w:cstheme="minorHAnsi"/>
        </w:rPr>
        <w:t xml:space="preserve"> στην οποία επισυνάπτονται:</w:t>
      </w:r>
    </w:p>
    <w:p w:rsidR="00CA51CC" w:rsidRPr="0040318C" w:rsidRDefault="00CA51CC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>1) Ημερολόγιο κίνησης – Ο.14 (στο έγγραφο απαιτούνται δύο υπογραφές: αριστερά του Επιστημονικά Υπεύθυνου και δεξιά του μετακινούμενου)</w:t>
      </w:r>
      <w:r w:rsidR="005830E2">
        <w:rPr>
          <w:rFonts w:cstheme="minorHAnsi"/>
        </w:rPr>
        <w:t>.</w:t>
      </w:r>
      <w:r w:rsidRPr="0040318C">
        <w:rPr>
          <w:rFonts w:cstheme="minorHAnsi"/>
        </w:rPr>
        <w:t xml:space="preserve"> </w:t>
      </w:r>
    </w:p>
    <w:p w:rsidR="00CA51CC" w:rsidRPr="0040318C" w:rsidRDefault="00CA51CC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>2) Έκθεση πεπραγμένων</w:t>
      </w:r>
      <w:r w:rsidR="005830E2">
        <w:rPr>
          <w:rFonts w:cstheme="minorHAnsi"/>
        </w:rPr>
        <w:t>-Ο.16.</w:t>
      </w:r>
      <w:r w:rsidRPr="0040318C">
        <w:rPr>
          <w:rFonts w:cstheme="minorHAnsi"/>
        </w:rPr>
        <w:t xml:space="preserve">  </w:t>
      </w:r>
    </w:p>
    <w:p w:rsidR="00CA51CC" w:rsidRPr="0040318C" w:rsidRDefault="00CA51CC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3) Υπεύθυνη δήλωση μετακινούμενου περί μη διπλής χρηματοδότησης </w:t>
      </w:r>
      <w:r w:rsidR="005830E2">
        <w:rPr>
          <w:rFonts w:cstheme="minorHAnsi"/>
        </w:rPr>
        <w:t xml:space="preserve">των </w:t>
      </w:r>
      <w:r w:rsidRPr="0040318C">
        <w:rPr>
          <w:rFonts w:cstheme="minorHAnsi"/>
        </w:rPr>
        <w:t>εξόδων μετακίνησης (με γνήσιο υπογραφής ή μέσω της σελίδας </w:t>
      </w:r>
      <w:hyperlink r:id="rId8" w:tgtFrame="_blank" w:history="1">
        <w:r w:rsidRPr="0040318C">
          <w:rPr>
            <w:rStyle w:val="-"/>
            <w:rFonts w:cstheme="minorHAnsi"/>
          </w:rPr>
          <w:t>gov.gr</w:t>
        </w:r>
      </w:hyperlink>
      <w:r w:rsidR="005830E2">
        <w:rPr>
          <w:rFonts w:cstheme="minorHAnsi"/>
        </w:rPr>
        <w:t xml:space="preserve"> ή με εγκεκριμένη ψηφιακή υπογραφή</w:t>
      </w:r>
      <w:r w:rsidRPr="0040318C">
        <w:rPr>
          <w:rFonts w:cstheme="minorHAnsi"/>
        </w:rPr>
        <w:t>)</w:t>
      </w:r>
      <w:r w:rsidR="005830E2">
        <w:rPr>
          <w:rFonts w:cstheme="minorHAnsi"/>
        </w:rPr>
        <w:t>.</w:t>
      </w:r>
      <w:r w:rsidRPr="0040318C">
        <w:rPr>
          <w:rFonts w:cstheme="minorHAnsi"/>
        </w:rPr>
        <w:t> </w:t>
      </w:r>
    </w:p>
    <w:p w:rsidR="00377E8F" w:rsidRPr="0040318C" w:rsidRDefault="00377E8F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4) Σε περίπτωση μετακίνησης με </w:t>
      </w:r>
      <w:r w:rsidR="005830E2">
        <w:rPr>
          <w:rFonts w:cstheme="minorHAnsi"/>
        </w:rPr>
        <w:t xml:space="preserve">Ι.Χ. </w:t>
      </w:r>
      <w:r w:rsidRPr="0040318C">
        <w:rPr>
          <w:rFonts w:cstheme="minorHAnsi"/>
        </w:rPr>
        <w:t xml:space="preserve">αυτοκίνητο κατατίθεται και η </w:t>
      </w:r>
      <w:r w:rsidR="008E43C4">
        <w:rPr>
          <w:rFonts w:cstheme="minorHAnsi"/>
        </w:rPr>
        <w:t xml:space="preserve">αντίστοιχη </w:t>
      </w:r>
      <w:r w:rsidRPr="0040318C">
        <w:rPr>
          <w:rFonts w:cstheme="minorHAnsi"/>
        </w:rPr>
        <w:t xml:space="preserve">ΥΔ </w:t>
      </w:r>
    </w:p>
    <w:p w:rsidR="00CA51CC" w:rsidRPr="0040318C" w:rsidRDefault="00CA51CC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>4) Πρωτότυπες αποδείξεις δαπανών</w:t>
      </w:r>
      <w:r w:rsidR="001D3E95">
        <w:rPr>
          <w:rFonts w:cstheme="minorHAnsi"/>
        </w:rPr>
        <w:t xml:space="preserve"> </w:t>
      </w:r>
      <w:r w:rsidR="001D3E95" w:rsidRPr="001D3E95">
        <w:rPr>
          <w:rFonts w:cstheme="minorHAnsi"/>
          <w:b/>
          <w:color w:val="FF0000"/>
        </w:rPr>
        <w:t>στα στοιχεία του μετακινούμενου</w:t>
      </w:r>
      <w:r w:rsidRPr="0040318C">
        <w:rPr>
          <w:rFonts w:cstheme="minorHAnsi"/>
        </w:rPr>
        <w:t>: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απόδειξη πώλησης αεροπορικών εισιτηρίων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κάρτες επιβίβασης (σε περίπτωση που οι κάρτες είναι αποκόμματα χρειάζεται να κατατεθούν πρωτότυπα στο γραφείο </w:t>
      </w:r>
      <w:r w:rsidR="003D3B7E">
        <w:rPr>
          <w:rFonts w:cstheme="minorHAnsi"/>
        </w:rPr>
        <w:t>Ε114</w:t>
      </w:r>
      <w:r w:rsidRPr="0040318C">
        <w:rPr>
          <w:rFonts w:cstheme="minorHAnsi"/>
        </w:rPr>
        <w:t>)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κράτηση αεροπορικών εισιτηρίων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απόδειξη διαμονής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κράτηση διαμονής σε περίπτωση που δεν προκύπτ</w:t>
      </w:r>
      <w:r w:rsidR="005830E2">
        <w:rPr>
          <w:rFonts w:cstheme="minorHAnsi"/>
        </w:rPr>
        <w:t>ουν</w:t>
      </w:r>
      <w:r w:rsidR="004C1E0F" w:rsidRPr="0040318C">
        <w:rPr>
          <w:rFonts w:cstheme="minorHAnsi"/>
        </w:rPr>
        <w:t xml:space="preserve"> σαφώς</w:t>
      </w:r>
      <w:r w:rsidRPr="0040318C">
        <w:rPr>
          <w:rFonts w:cstheme="minorHAnsi"/>
        </w:rPr>
        <w:t xml:space="preserve"> από την απόδειξη </w:t>
      </w:r>
      <w:r w:rsidR="00ED44BE">
        <w:rPr>
          <w:rFonts w:cstheme="minorHAnsi"/>
        </w:rPr>
        <w:t xml:space="preserve"> όλες οι πληροφορίες </w:t>
      </w:r>
      <w:r w:rsidR="005830E2">
        <w:rPr>
          <w:rFonts w:cstheme="minorHAnsi"/>
        </w:rPr>
        <w:t>της</w:t>
      </w:r>
      <w:r w:rsidR="00ED44BE">
        <w:rPr>
          <w:rFonts w:cstheme="minorHAnsi"/>
        </w:rPr>
        <w:t xml:space="preserve"> διαμονής </w:t>
      </w:r>
      <w:r w:rsidR="00D368B6">
        <w:rPr>
          <w:rFonts w:cstheme="minorHAnsi"/>
        </w:rPr>
        <w:t xml:space="preserve"> (π.χ. διάστημα διαμονής, διαμονή ενός ατόμου κλπ)</w:t>
      </w:r>
      <w:r w:rsidR="005830E2">
        <w:rPr>
          <w:rFonts w:cstheme="minorHAnsi"/>
        </w:rPr>
        <w:t xml:space="preserve">. 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lastRenderedPageBreak/>
        <w:t>απόδειξη εξόδων εγγραφής στο συνέδριο</w:t>
      </w:r>
      <w:r w:rsidR="00ED44BE">
        <w:rPr>
          <w:rFonts w:cstheme="minorHAnsi"/>
        </w:rPr>
        <w:t>.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αποδείξεις διατροφής και μετακίνησης με μέσα μαζικής μεταφοράς (για τους εξωτερικούς συνεργάτες που δεν λαμβάνουν ημερήσια αποζημίωση)</w:t>
      </w:r>
      <w:r w:rsidR="004C1E0F" w:rsidRPr="0040318C">
        <w:rPr>
          <w:rFonts w:cstheme="minorHAnsi"/>
        </w:rPr>
        <w:t>. Αποδείξεις οι οποίες δεν είναι ευανάγνωστες ούτε προκύπτει το είδος της δαπάνης, δεν αποζημιώνονται</w:t>
      </w:r>
      <w:r w:rsidR="00ED44BE">
        <w:rPr>
          <w:rFonts w:cstheme="minorHAnsi"/>
        </w:rPr>
        <w:t>.</w:t>
      </w:r>
    </w:p>
    <w:p w:rsidR="00CA51CC" w:rsidRPr="0040318C" w:rsidRDefault="00CA51CC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για τα μέσα μαζικής μεταφοράς, τρένα, πλοία απαιτείται η προσκόμιση εισιτηρίου </w:t>
      </w:r>
      <w:r w:rsidR="00AC5CF2" w:rsidRPr="0040318C">
        <w:rPr>
          <w:rFonts w:cstheme="minorHAnsi"/>
        </w:rPr>
        <w:t xml:space="preserve">μαζί με την απόδειξη αγοράς τους </w:t>
      </w:r>
      <w:r w:rsidRPr="0040318C">
        <w:rPr>
          <w:rFonts w:cstheme="minorHAnsi"/>
        </w:rPr>
        <w:t>(σε περίπτωση που το εισιτήριο «εκδόθηκε» από εφαρμογή, είναι απαραίτητη η κατάθεση της απεικόνισης οθόνης του εισιτηρίου)</w:t>
      </w:r>
      <w:r w:rsidR="00ED44BE">
        <w:rPr>
          <w:rFonts w:cstheme="minorHAnsi"/>
        </w:rPr>
        <w:t>.</w:t>
      </w:r>
      <w:r w:rsidRPr="0040318C">
        <w:rPr>
          <w:rFonts w:cstheme="minorHAnsi"/>
        </w:rPr>
        <w:t xml:space="preserve"> </w:t>
      </w:r>
    </w:p>
    <w:p w:rsidR="004768F5" w:rsidRDefault="004768F5" w:rsidP="002B041E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40318C">
        <w:rPr>
          <w:rFonts w:cstheme="minorHAnsi"/>
        </w:rPr>
        <w:t>αποδείξεις διοδίων. Σε περίπτωση που χρησιμοποιείται πομποδέκτης, γίνεται δεκτή η απόδειξη μόνο εάν είναι στο όνομα του μετακινούμενου</w:t>
      </w:r>
      <w:r w:rsidR="00ED44BE">
        <w:rPr>
          <w:rFonts w:cstheme="minorHAnsi"/>
        </w:rPr>
        <w:t xml:space="preserve"> </w:t>
      </w:r>
      <w:r w:rsidRPr="0040318C">
        <w:rPr>
          <w:rFonts w:cstheme="minorHAnsi"/>
        </w:rPr>
        <w:t xml:space="preserve">(όχι πχ στο όνομα </w:t>
      </w:r>
      <w:r w:rsidR="00ED44BE">
        <w:rPr>
          <w:rFonts w:cstheme="minorHAnsi"/>
        </w:rPr>
        <w:t>συγγενικού προσώπου</w:t>
      </w:r>
      <w:r w:rsidRPr="0040318C">
        <w:rPr>
          <w:rFonts w:cstheme="minorHAnsi"/>
        </w:rPr>
        <w:t>)</w:t>
      </w:r>
      <w:r w:rsidR="00D368B6">
        <w:rPr>
          <w:rFonts w:cstheme="minorHAnsi"/>
        </w:rPr>
        <w:t>.</w:t>
      </w:r>
    </w:p>
    <w:p w:rsidR="00B533AA" w:rsidRPr="00B533AA" w:rsidRDefault="00B533AA" w:rsidP="00B533AA">
      <w:pPr>
        <w:pStyle w:val="a3"/>
        <w:spacing w:line="360" w:lineRule="auto"/>
        <w:rPr>
          <w:rFonts w:cstheme="minorHAnsi"/>
          <w:b/>
        </w:rPr>
      </w:pPr>
      <w:r w:rsidRPr="00B533AA">
        <w:rPr>
          <w:rFonts w:cstheme="minorHAnsi"/>
          <w:b/>
          <w:color w:val="FF0000"/>
        </w:rPr>
        <w:t>ΠΡΟΣΟΧΗ</w:t>
      </w:r>
      <w:r w:rsidRPr="00B533AA">
        <w:rPr>
          <w:rFonts w:cstheme="minorHAnsi"/>
          <w:b/>
        </w:rPr>
        <w:t>: οι κινήσεις κάρτας (τραπεζικές μεταφορές) ΔΕΝ αποτελούν παραστατικό</w:t>
      </w:r>
      <w:r w:rsidR="005C22F0">
        <w:rPr>
          <w:rFonts w:cstheme="minorHAnsi"/>
          <w:b/>
        </w:rPr>
        <w:t xml:space="preserve"> (</w:t>
      </w:r>
      <w:r w:rsidR="005C22F0" w:rsidRPr="005C22F0">
        <w:rPr>
          <w:rFonts w:cstheme="minorHAnsi"/>
        </w:rPr>
        <w:t>μπορούν να κατατίθενται προκειμένου να προκύπτει το ακριβές ποσό</w:t>
      </w:r>
      <w:r w:rsidR="005C22F0">
        <w:rPr>
          <w:rFonts w:cstheme="minorHAnsi"/>
          <w:b/>
        </w:rPr>
        <w:t>)</w:t>
      </w:r>
    </w:p>
    <w:p w:rsidR="00CA51CC" w:rsidRPr="0040318C" w:rsidRDefault="00AC5CF2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>5</w:t>
      </w:r>
      <w:r w:rsidR="00CA51CC" w:rsidRPr="0040318C">
        <w:rPr>
          <w:rFonts w:cstheme="minorHAnsi"/>
        </w:rPr>
        <w:t>) Βεβαίωση συμμετοχής υπογεγραμμ</w:t>
      </w:r>
      <w:r w:rsidRPr="0040318C">
        <w:rPr>
          <w:rFonts w:cstheme="minorHAnsi"/>
        </w:rPr>
        <w:t>ένη από την οργανωτική επιτροπή ή λίστα συμμετεχόντων (ανάλογα με την κατηγορία του έργου)</w:t>
      </w:r>
      <w:r w:rsidR="00ED44BE">
        <w:rPr>
          <w:rFonts w:cstheme="minorHAnsi"/>
        </w:rPr>
        <w:t>.</w:t>
      </w:r>
    </w:p>
    <w:p w:rsidR="00CA51CC" w:rsidRPr="0040318C" w:rsidRDefault="00AC5CF2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>6</w:t>
      </w:r>
      <w:r w:rsidR="00CA51CC" w:rsidRPr="0040318C">
        <w:rPr>
          <w:rFonts w:cstheme="minorHAnsi"/>
        </w:rPr>
        <w:t>) Το άρθρο/εργασία στο οποίο θα έχ</w:t>
      </w:r>
      <w:r w:rsidR="000334FA">
        <w:rPr>
          <w:rFonts w:cstheme="minorHAnsi"/>
        </w:rPr>
        <w:t>ουν</w:t>
      </w:r>
      <w:r w:rsidR="00CA51CC" w:rsidRPr="0040318C">
        <w:rPr>
          <w:rFonts w:cstheme="minorHAnsi"/>
        </w:rPr>
        <w:t xml:space="preserve"> ενσωματω</w:t>
      </w:r>
      <w:r w:rsidR="000334FA">
        <w:rPr>
          <w:rFonts w:cstheme="minorHAnsi"/>
        </w:rPr>
        <w:t xml:space="preserve">θεί και </w:t>
      </w:r>
      <w:r w:rsidR="00CA51CC" w:rsidRPr="0040318C">
        <w:rPr>
          <w:rFonts w:cstheme="minorHAnsi"/>
        </w:rPr>
        <w:t xml:space="preserve"> </w:t>
      </w:r>
      <w:r w:rsidR="000334FA">
        <w:rPr>
          <w:rFonts w:cstheme="minorHAnsi"/>
        </w:rPr>
        <w:t>οι</w:t>
      </w:r>
      <w:r w:rsidR="00CA51CC" w:rsidRPr="0040318C">
        <w:rPr>
          <w:rFonts w:cstheme="minorHAnsi"/>
        </w:rPr>
        <w:t xml:space="preserve"> κανόνες </w:t>
      </w:r>
      <w:r w:rsidRPr="0040318C">
        <w:rPr>
          <w:rFonts w:cstheme="minorHAnsi"/>
        </w:rPr>
        <w:t xml:space="preserve"> δ</w:t>
      </w:r>
      <w:r w:rsidR="00CA51CC" w:rsidRPr="0040318C">
        <w:rPr>
          <w:rFonts w:cstheme="minorHAnsi"/>
        </w:rPr>
        <w:t xml:space="preserve">ημοσιότητας σύμφωνα με τον κανονισμό του </w:t>
      </w:r>
      <w:r w:rsidR="000334FA">
        <w:rPr>
          <w:rFonts w:cstheme="minorHAnsi"/>
        </w:rPr>
        <w:t xml:space="preserve">κάθε </w:t>
      </w:r>
      <w:r w:rsidR="00CA51CC" w:rsidRPr="0040318C">
        <w:rPr>
          <w:rFonts w:cstheme="minorHAnsi"/>
        </w:rPr>
        <w:t>έργου.</w:t>
      </w:r>
    </w:p>
    <w:p w:rsidR="00CA51CC" w:rsidRDefault="00AC5CF2" w:rsidP="002B041E">
      <w:pPr>
        <w:spacing w:line="360" w:lineRule="auto"/>
        <w:rPr>
          <w:rFonts w:cstheme="minorHAnsi"/>
        </w:rPr>
      </w:pPr>
      <w:r w:rsidRPr="0040318C">
        <w:rPr>
          <w:rFonts w:cstheme="minorHAnsi"/>
        </w:rPr>
        <w:t xml:space="preserve">7) Πρόγραμμα του συνεδρίου, </w:t>
      </w:r>
      <w:r w:rsidRPr="0040318C">
        <w:rPr>
          <w:rFonts w:cstheme="minorHAnsi"/>
          <w:lang w:val="en-US"/>
        </w:rPr>
        <w:t>agenda</w:t>
      </w:r>
      <w:r w:rsidR="00D368B6">
        <w:rPr>
          <w:rFonts w:cstheme="minorHAnsi"/>
        </w:rPr>
        <w:t>.</w:t>
      </w:r>
    </w:p>
    <w:p w:rsidR="00AD66E3" w:rsidRDefault="00AD66E3" w:rsidP="002B041E">
      <w:pPr>
        <w:spacing w:line="360" w:lineRule="auto"/>
        <w:rPr>
          <w:rFonts w:cstheme="minorHAnsi"/>
        </w:rPr>
      </w:pPr>
    </w:p>
    <w:tbl>
      <w:tblPr>
        <w:tblStyle w:val="a8"/>
        <w:tblW w:w="0" w:type="auto"/>
        <w:tblLook w:val="04A0"/>
      </w:tblPr>
      <w:tblGrid>
        <w:gridCol w:w="8522"/>
      </w:tblGrid>
      <w:tr w:rsidR="00AD66E3" w:rsidTr="00AD66E3"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6E3" w:rsidRDefault="00AD66E3" w:rsidP="00AD66E3">
            <w:pPr>
              <w:spacing w:line="360" w:lineRule="auto"/>
              <w:jc w:val="center"/>
            </w:pPr>
          </w:p>
          <w:p w:rsidR="00AD66E3" w:rsidRDefault="00AD66E3" w:rsidP="00AD66E3">
            <w:pPr>
              <w:spacing w:line="360" w:lineRule="auto"/>
              <w:jc w:val="both"/>
            </w:pPr>
            <w:r>
              <w:t xml:space="preserve">Υπενθυμίζεται ότι η εκκαθάριση των δαπανών πραγματοποιείται βάσει του Οδηγού Χρηματοδότησης και Διαχείρισης του ΕΛΚΕ (βλ. </w:t>
            </w:r>
            <w:hyperlink r:id="rId9" w:history="1">
              <w:r w:rsidRPr="00262F08">
                <w:rPr>
                  <w:rStyle w:val="-"/>
                </w:rPr>
                <w:t>https://elke.uom.gr</w:t>
              </w:r>
            </w:hyperlink>
            <w:r>
              <w:t>).</w:t>
            </w:r>
          </w:p>
          <w:p w:rsidR="00AD66E3" w:rsidRPr="00483D31" w:rsidRDefault="00AD66E3" w:rsidP="00AD66E3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83D31">
              <w:rPr>
                <w:b/>
              </w:rPr>
              <w:t xml:space="preserve">Προτείνεται θερμά </w:t>
            </w:r>
            <w:r w:rsidRPr="00483D31">
              <w:rPr>
                <w:rStyle w:val="a7"/>
                <w:b w:val="0"/>
              </w:rPr>
              <w:t>η αναζήτηση και η αξιοποίηση</w:t>
            </w:r>
            <w:r w:rsidRPr="00483D31">
              <w:rPr>
                <w:b/>
              </w:rPr>
              <w:t xml:space="preserve"> των σχετικών οδηγιών του Οδηγού για διευκρινίσεις</w:t>
            </w:r>
          </w:p>
          <w:p w:rsidR="00AD66E3" w:rsidRDefault="00AD66E3" w:rsidP="00AD66E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:rsidR="00AD66E3" w:rsidRPr="00D368B6" w:rsidRDefault="00AD66E3" w:rsidP="002B041E">
      <w:pPr>
        <w:spacing w:line="360" w:lineRule="auto"/>
        <w:rPr>
          <w:rFonts w:cstheme="minorHAnsi"/>
        </w:rPr>
      </w:pPr>
    </w:p>
    <w:p w:rsidR="00AD66E3" w:rsidRPr="00483D31" w:rsidRDefault="00AD66E3">
      <w:pPr>
        <w:spacing w:line="360" w:lineRule="auto"/>
        <w:rPr>
          <w:rFonts w:cstheme="minorHAnsi"/>
          <w:b/>
        </w:rPr>
      </w:pPr>
    </w:p>
    <w:sectPr w:rsidR="00AD66E3" w:rsidRPr="00483D31" w:rsidSect="00047F5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DC1" w:rsidRDefault="003F3DC1" w:rsidP="008A75B7">
      <w:pPr>
        <w:spacing w:after="0" w:line="240" w:lineRule="auto"/>
      </w:pPr>
      <w:r>
        <w:separator/>
      </w:r>
    </w:p>
  </w:endnote>
  <w:endnote w:type="continuationSeparator" w:id="0">
    <w:p w:rsidR="003F3DC1" w:rsidRDefault="003F3DC1" w:rsidP="008A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DC1" w:rsidRDefault="003F3DC1" w:rsidP="00F2739D">
    <w:pPr>
      <w:pBdr>
        <w:bottom w:val="single" w:sz="4" w:space="1" w:color="auto"/>
      </w:pBdr>
      <w:rPr>
        <w:b/>
      </w:rPr>
    </w:pPr>
  </w:p>
  <w:p w:rsidR="003F3DC1" w:rsidRDefault="003F3DC1" w:rsidP="00F2739D">
    <w:pPr>
      <w:rPr>
        <w:b/>
      </w:rPr>
    </w:pPr>
    <w:r w:rsidRPr="00AC5CF2">
      <w:rPr>
        <w:b/>
      </w:rPr>
      <w:t>Υπενθυμίζεται ότι, στο πλαίσιο του ελέγχου των εντολών δαπάνης, η υπηρεσία δύναται να ζητήσει πρόσθετα δικαιολογητικά, προκειμένου να διασφαλιστεί η πλήρης και ορθή τεκμηρίωση της δαπάνης.</w:t>
    </w:r>
  </w:p>
  <w:p w:rsidR="003F3DC1" w:rsidRDefault="003F3D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DC1" w:rsidRDefault="003F3DC1" w:rsidP="008A75B7">
      <w:pPr>
        <w:spacing w:after="0" w:line="240" w:lineRule="auto"/>
      </w:pPr>
      <w:r>
        <w:separator/>
      </w:r>
    </w:p>
  </w:footnote>
  <w:footnote w:type="continuationSeparator" w:id="0">
    <w:p w:rsidR="003F3DC1" w:rsidRDefault="003F3DC1" w:rsidP="008A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6B" w:rsidRPr="00B742CF" w:rsidRDefault="00D61A6B" w:rsidP="00D61A6B">
    <w:pPr>
      <w:pStyle w:val="a4"/>
      <w:jc w:val="both"/>
      <w:rPr>
        <w:i/>
        <w:sz w:val="20"/>
      </w:rPr>
    </w:pPr>
    <w:r w:rsidRPr="00B742CF">
      <w:rPr>
        <w:i/>
        <w:sz w:val="20"/>
      </w:rPr>
      <w:t xml:space="preserve">Ο παρών οδηγός αποτελεί ενδεικτική καταγραφή των συχνότερων περιπτώσεων που αντιμετωπίζονται </w:t>
    </w:r>
    <w:r>
      <w:rPr>
        <w:i/>
        <w:sz w:val="20"/>
      </w:rPr>
      <w:t xml:space="preserve">κατά τον έλεγχο και εκκαθάριση εντολών </w:t>
    </w:r>
    <w:r w:rsidRPr="00B742CF">
      <w:rPr>
        <w:i/>
        <w:sz w:val="20"/>
      </w:rPr>
      <w:t>και παρέχει κατευθυντήριες οδηγίες για την ορθή και ενιαία διαχείρισή τους.</w:t>
    </w:r>
  </w:p>
  <w:p w:rsidR="003F3DC1" w:rsidRDefault="00D61A6B" w:rsidP="00D61A6B">
    <w:pPr>
      <w:pStyle w:val="a4"/>
      <w:pBdr>
        <w:bottom w:val="single" w:sz="4" w:space="1" w:color="auto"/>
      </w:pBdr>
      <w:rPr>
        <w:i/>
        <w:sz w:val="20"/>
      </w:rPr>
    </w:pPr>
    <w:r w:rsidRPr="00B742CF">
      <w:rPr>
        <w:i/>
        <w:sz w:val="20"/>
      </w:rPr>
      <w:t>Επισημαίνεται ότι ενδέχεται να προκύψουν και περιπτώσεις που δεν περιλαμβάνονται ρητώς στο παρόν έγγραφο, για τις οποίες θα πρέπει να ζητείται σχετική καθοδήγηση από τα αρμόδια γραφεία</w:t>
    </w:r>
  </w:p>
  <w:p w:rsidR="00D61A6B" w:rsidRDefault="00D61A6B" w:rsidP="00D61A6B">
    <w:pPr>
      <w:pStyle w:val="a4"/>
      <w:pBdr>
        <w:bottom w:val="single" w:sz="4" w:space="1" w:color="auto"/>
      </w:pBdr>
    </w:pPr>
  </w:p>
  <w:p w:rsidR="003F3DC1" w:rsidRPr="00047F57" w:rsidRDefault="003F3DC1" w:rsidP="00D61A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6FC"/>
    <w:multiLevelType w:val="hybridMultilevel"/>
    <w:tmpl w:val="B6CE8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1CC"/>
    <w:rsid w:val="000334FA"/>
    <w:rsid w:val="00047F57"/>
    <w:rsid w:val="00057153"/>
    <w:rsid w:val="00090B0F"/>
    <w:rsid w:val="000A57D7"/>
    <w:rsid w:val="00102A50"/>
    <w:rsid w:val="001D3E95"/>
    <w:rsid w:val="00254FB1"/>
    <w:rsid w:val="0026435B"/>
    <w:rsid w:val="002B041E"/>
    <w:rsid w:val="003343CD"/>
    <w:rsid w:val="00377E8F"/>
    <w:rsid w:val="00383EF4"/>
    <w:rsid w:val="00397565"/>
    <w:rsid w:val="003D3B7E"/>
    <w:rsid w:val="003F2A79"/>
    <w:rsid w:val="003F3DC1"/>
    <w:rsid w:val="0040318C"/>
    <w:rsid w:val="00406E8D"/>
    <w:rsid w:val="004768F5"/>
    <w:rsid w:val="00476CD3"/>
    <w:rsid w:val="00483D31"/>
    <w:rsid w:val="004C1E0F"/>
    <w:rsid w:val="004D2394"/>
    <w:rsid w:val="004E76C9"/>
    <w:rsid w:val="004F548C"/>
    <w:rsid w:val="005339AA"/>
    <w:rsid w:val="005519A9"/>
    <w:rsid w:val="005830E2"/>
    <w:rsid w:val="005C22F0"/>
    <w:rsid w:val="005E6CFB"/>
    <w:rsid w:val="00617E32"/>
    <w:rsid w:val="00632A1C"/>
    <w:rsid w:val="0067639A"/>
    <w:rsid w:val="006C4BEF"/>
    <w:rsid w:val="00824F47"/>
    <w:rsid w:val="008268BD"/>
    <w:rsid w:val="00866CA1"/>
    <w:rsid w:val="008A75B7"/>
    <w:rsid w:val="008E43C4"/>
    <w:rsid w:val="00927F07"/>
    <w:rsid w:val="00932182"/>
    <w:rsid w:val="00A74F9F"/>
    <w:rsid w:val="00A97A9D"/>
    <w:rsid w:val="00AC5CF2"/>
    <w:rsid w:val="00AD66E3"/>
    <w:rsid w:val="00B11001"/>
    <w:rsid w:val="00B239D9"/>
    <w:rsid w:val="00B533AA"/>
    <w:rsid w:val="00B9405C"/>
    <w:rsid w:val="00BA2BA1"/>
    <w:rsid w:val="00BB4663"/>
    <w:rsid w:val="00BD4023"/>
    <w:rsid w:val="00C74987"/>
    <w:rsid w:val="00CA51CC"/>
    <w:rsid w:val="00CE0168"/>
    <w:rsid w:val="00D368B6"/>
    <w:rsid w:val="00D4263B"/>
    <w:rsid w:val="00D61A6B"/>
    <w:rsid w:val="00E64E88"/>
    <w:rsid w:val="00E7277B"/>
    <w:rsid w:val="00ED44BE"/>
    <w:rsid w:val="00F2739D"/>
    <w:rsid w:val="00F34A73"/>
    <w:rsid w:val="00F36D7C"/>
    <w:rsid w:val="00FC5174"/>
    <w:rsid w:val="00F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A51C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A51C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A7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A75B7"/>
  </w:style>
  <w:style w:type="paragraph" w:styleId="a5">
    <w:name w:val="footer"/>
    <w:basedOn w:val="a"/>
    <w:link w:val="Char0"/>
    <w:uiPriority w:val="99"/>
    <w:semiHidden/>
    <w:unhideWhenUsed/>
    <w:rsid w:val="008A7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A75B7"/>
  </w:style>
  <w:style w:type="paragraph" w:styleId="a6">
    <w:name w:val="Balloon Text"/>
    <w:basedOn w:val="a"/>
    <w:link w:val="Char1"/>
    <w:uiPriority w:val="99"/>
    <w:semiHidden/>
    <w:unhideWhenUsed/>
    <w:rsid w:val="005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830E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83D31"/>
    <w:rPr>
      <w:b/>
      <w:bCs/>
    </w:rPr>
  </w:style>
  <w:style w:type="table" w:styleId="a8">
    <w:name w:val="Table Grid"/>
    <w:basedOn w:val="a1"/>
    <w:uiPriority w:val="59"/>
    <w:rsid w:val="00AD6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g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ke.uo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C6140-1FB7-4C52-B6BC-4B3A8C5A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mkastanidou</dc:creator>
  <cp:keywords/>
  <dc:description/>
  <cp:lastModifiedBy>mkastanidou</cp:lastModifiedBy>
  <cp:revision>22</cp:revision>
  <dcterms:created xsi:type="dcterms:W3CDTF">2025-11-08T13:07:00Z</dcterms:created>
  <dcterms:modified xsi:type="dcterms:W3CDTF">2025-11-21T07:34:00Z</dcterms:modified>
</cp:coreProperties>
</file>